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CDEEE">
      <w:pPr>
        <w:spacing w:before="100" w:beforeAutospacing="1"/>
        <w:jc w:val="right"/>
        <w:rPr>
          <w:rFonts w:hint="default" w:ascii="Times New Roman" w:hAnsi="Times New Roman" w:eastAsia="黑体" w:cs="Times New Roman"/>
          <w:bCs/>
          <w:color w:val="auto"/>
          <w:sz w:val="24"/>
          <w:szCs w:val="24"/>
        </w:rPr>
      </w:pPr>
    </w:p>
    <w:p w14:paraId="6F878483">
      <w:pPr>
        <w:spacing w:before="156" w:beforeLines="50" w:line="500" w:lineRule="exact"/>
        <w:jc w:val="center"/>
        <w:rPr>
          <w:rFonts w:hint="default" w:ascii="Times New Roman" w:hAnsi="Times New Roman" w:eastAsia="宋体" w:cs="Times New Roman"/>
          <w:b/>
          <w:bCs/>
          <w:color w:val="auto"/>
          <w:sz w:val="52"/>
        </w:rPr>
      </w:pPr>
    </w:p>
    <w:p w14:paraId="2F23458D">
      <w:pPr>
        <w:spacing w:before="156" w:beforeLines="50" w:line="500" w:lineRule="exact"/>
        <w:jc w:val="center"/>
        <w:rPr>
          <w:rFonts w:hint="default" w:ascii="Times New Roman" w:hAnsi="Times New Roman" w:eastAsia="宋体" w:cs="Times New Roman"/>
          <w:b/>
          <w:bCs/>
          <w:color w:val="auto"/>
          <w:sz w:val="52"/>
        </w:rPr>
      </w:pPr>
    </w:p>
    <w:p w14:paraId="647E370B">
      <w:pPr>
        <w:spacing w:line="580" w:lineRule="exact"/>
        <w:jc w:val="center"/>
        <w:rPr>
          <w:rFonts w:hint="default" w:ascii="Times New Roman" w:hAnsi="Times New Roman" w:cs="Times New Roman"/>
          <w:b/>
          <w:bCs/>
          <w:color w:val="auto"/>
          <w:sz w:val="44"/>
          <w:szCs w:val="44"/>
        </w:rPr>
      </w:pPr>
    </w:p>
    <w:p w14:paraId="6BDBB1F9">
      <w:pPr>
        <w:spacing w:line="480" w:lineRule="auto"/>
        <w:jc w:val="center"/>
        <w:rPr>
          <w:rFonts w:hint="default" w:ascii="Times New Roman" w:hAnsi="Times New Roman" w:eastAsia="方正小标宋简体" w:cs="Times New Roman"/>
          <w:b w:val="0"/>
          <w:bCs w:val="0"/>
          <w:color w:val="auto"/>
          <w:sz w:val="48"/>
          <w:szCs w:val="24"/>
        </w:rPr>
      </w:pPr>
      <w:r>
        <w:rPr>
          <w:rFonts w:hint="default" w:ascii="Times New Roman" w:hAnsi="Times New Roman" w:eastAsia="方正小标宋简体" w:cs="Times New Roman"/>
          <w:b w:val="0"/>
          <w:bCs w:val="0"/>
          <w:color w:val="auto"/>
          <w:sz w:val="48"/>
          <w:szCs w:val="24"/>
        </w:rPr>
        <w:t>广东省林业发展</w:t>
      </w:r>
      <w:r>
        <w:rPr>
          <w:rFonts w:hint="default" w:ascii="Times New Roman" w:hAnsi="Times New Roman" w:eastAsia="方正小标宋简体" w:cs="Times New Roman"/>
          <w:b w:val="0"/>
          <w:bCs w:val="0"/>
          <w:color w:val="auto"/>
          <w:sz w:val="48"/>
          <w:szCs w:val="24"/>
          <w:lang w:eastAsia="zh-CN"/>
        </w:rPr>
        <w:t>“</w:t>
      </w:r>
      <w:r>
        <w:rPr>
          <w:rFonts w:hint="default" w:ascii="Times New Roman" w:hAnsi="Times New Roman" w:eastAsia="方正小标宋简体" w:cs="Times New Roman"/>
          <w:b w:val="0"/>
          <w:bCs w:val="0"/>
          <w:color w:val="auto"/>
          <w:sz w:val="48"/>
          <w:szCs w:val="24"/>
        </w:rPr>
        <w:t>十五五</w:t>
      </w:r>
      <w:r>
        <w:rPr>
          <w:rFonts w:hint="default" w:ascii="Times New Roman" w:hAnsi="Times New Roman" w:eastAsia="方正小标宋简体" w:cs="Times New Roman"/>
          <w:b w:val="0"/>
          <w:bCs w:val="0"/>
          <w:color w:val="auto"/>
          <w:sz w:val="48"/>
          <w:szCs w:val="24"/>
          <w:lang w:eastAsia="zh-CN"/>
        </w:rPr>
        <w:t>”</w:t>
      </w:r>
      <w:r>
        <w:rPr>
          <w:rFonts w:hint="default" w:ascii="Times New Roman" w:hAnsi="Times New Roman" w:eastAsia="方正小标宋简体" w:cs="Times New Roman"/>
          <w:b w:val="0"/>
          <w:bCs w:val="0"/>
          <w:color w:val="auto"/>
          <w:sz w:val="48"/>
          <w:szCs w:val="24"/>
        </w:rPr>
        <w:t>规划</w:t>
      </w:r>
    </w:p>
    <w:p w14:paraId="644535AF">
      <w:pPr>
        <w:spacing w:line="480" w:lineRule="auto"/>
        <w:jc w:val="center"/>
        <w:rPr>
          <w:rFonts w:hint="default" w:ascii="Times New Roman" w:hAnsi="Times New Roman" w:eastAsia="方正小标宋简体" w:cs="Times New Roman"/>
          <w:b w:val="0"/>
          <w:bCs w:val="0"/>
          <w:color w:val="auto"/>
          <w:sz w:val="44"/>
          <w:szCs w:val="22"/>
        </w:rPr>
      </w:pPr>
      <w:r>
        <w:rPr>
          <w:rFonts w:hint="default" w:ascii="Times New Roman" w:hAnsi="Times New Roman" w:eastAsia="方正小标宋简体" w:cs="Times New Roman"/>
          <w:b w:val="0"/>
          <w:bCs w:val="0"/>
          <w:color w:val="auto"/>
          <w:sz w:val="44"/>
          <w:szCs w:val="22"/>
        </w:rPr>
        <w:t>（</w:t>
      </w:r>
      <w:r>
        <w:rPr>
          <w:rFonts w:hint="eastAsia" w:ascii="Times New Roman" w:hAnsi="Times New Roman" w:eastAsia="方正小标宋简体" w:cs="Times New Roman"/>
          <w:b w:val="0"/>
          <w:bCs w:val="0"/>
          <w:color w:val="auto"/>
          <w:sz w:val="44"/>
          <w:szCs w:val="22"/>
          <w:lang w:val="en-US" w:eastAsia="zh-CN"/>
        </w:rPr>
        <w:t>征求意见稿</w:t>
      </w:r>
      <w:r>
        <w:rPr>
          <w:rFonts w:hint="default" w:ascii="Times New Roman" w:hAnsi="Times New Roman" w:eastAsia="方正小标宋简体" w:cs="Times New Roman"/>
          <w:b w:val="0"/>
          <w:bCs w:val="0"/>
          <w:color w:val="auto"/>
          <w:sz w:val="44"/>
          <w:szCs w:val="22"/>
        </w:rPr>
        <w:t>）</w:t>
      </w:r>
    </w:p>
    <w:p w14:paraId="51A060E0">
      <w:pPr>
        <w:spacing w:line="480" w:lineRule="auto"/>
        <w:jc w:val="center"/>
        <w:rPr>
          <w:rFonts w:hint="default" w:ascii="Times New Roman" w:hAnsi="Times New Roman" w:eastAsia="方正小标宋简体" w:cs="Times New Roman"/>
          <w:b w:val="0"/>
          <w:bCs w:val="0"/>
          <w:color w:val="auto"/>
          <w:sz w:val="48"/>
          <w:szCs w:val="24"/>
        </w:rPr>
      </w:pPr>
    </w:p>
    <w:p w14:paraId="4FF52AEC">
      <w:pPr>
        <w:spacing w:line="480" w:lineRule="auto"/>
        <w:jc w:val="center"/>
        <w:rPr>
          <w:rFonts w:hint="default" w:ascii="Times New Roman" w:hAnsi="Times New Roman" w:eastAsia="方正小标宋简体" w:cs="Times New Roman"/>
          <w:b w:val="0"/>
          <w:bCs w:val="0"/>
          <w:color w:val="auto"/>
          <w:sz w:val="48"/>
          <w:szCs w:val="24"/>
        </w:rPr>
      </w:pPr>
    </w:p>
    <w:p w14:paraId="4BB3EE52">
      <w:pPr>
        <w:spacing w:line="480" w:lineRule="auto"/>
        <w:jc w:val="center"/>
        <w:rPr>
          <w:rFonts w:hint="default" w:ascii="Times New Roman" w:hAnsi="Times New Roman" w:eastAsia="方正小标宋简体" w:cs="Times New Roman"/>
          <w:b w:val="0"/>
          <w:bCs w:val="0"/>
          <w:color w:val="auto"/>
          <w:sz w:val="48"/>
          <w:szCs w:val="24"/>
          <w:lang w:val="en-US" w:eastAsia="zh-CN"/>
        </w:rPr>
      </w:pPr>
    </w:p>
    <w:p w14:paraId="4DAA397C">
      <w:pPr>
        <w:spacing w:line="360" w:lineRule="auto"/>
        <w:jc w:val="center"/>
        <w:rPr>
          <w:rFonts w:hint="default" w:ascii="Times New Roman" w:hAnsi="Times New Roman" w:eastAsia="宋体" w:cs="Times New Roman"/>
          <w:b/>
          <w:bCs/>
          <w:color w:val="auto"/>
        </w:rPr>
      </w:pPr>
    </w:p>
    <w:p w14:paraId="5A116B3C">
      <w:pPr>
        <w:spacing w:line="360" w:lineRule="auto"/>
        <w:jc w:val="center"/>
        <w:rPr>
          <w:rFonts w:hint="default" w:ascii="Times New Roman" w:hAnsi="Times New Roman" w:eastAsia="宋体" w:cs="Times New Roman"/>
          <w:b/>
          <w:bCs/>
          <w:color w:val="auto"/>
        </w:rPr>
      </w:pPr>
    </w:p>
    <w:p w14:paraId="67D61783">
      <w:pPr>
        <w:spacing w:line="360" w:lineRule="auto"/>
        <w:jc w:val="center"/>
        <w:rPr>
          <w:rFonts w:hint="default" w:ascii="Times New Roman" w:hAnsi="Times New Roman" w:eastAsia="宋体" w:cs="Times New Roman"/>
          <w:b/>
          <w:bCs/>
          <w:color w:val="auto"/>
        </w:rPr>
      </w:pPr>
    </w:p>
    <w:p w14:paraId="2EE2732F">
      <w:pPr>
        <w:spacing w:line="360" w:lineRule="auto"/>
        <w:jc w:val="center"/>
        <w:rPr>
          <w:rFonts w:hint="default" w:ascii="Times New Roman" w:hAnsi="Times New Roman" w:eastAsia="宋体" w:cs="Times New Roman"/>
          <w:b/>
          <w:bCs/>
          <w:color w:val="auto"/>
        </w:rPr>
      </w:pPr>
    </w:p>
    <w:p w14:paraId="5906F0AB">
      <w:pPr>
        <w:spacing w:line="360" w:lineRule="auto"/>
        <w:jc w:val="center"/>
        <w:rPr>
          <w:rFonts w:hint="default" w:ascii="Times New Roman" w:hAnsi="Times New Roman" w:eastAsia="宋体" w:cs="Times New Roman"/>
          <w:b/>
          <w:bCs/>
          <w:color w:val="auto"/>
        </w:rPr>
      </w:pPr>
    </w:p>
    <w:p w14:paraId="3C3A1E82">
      <w:pPr>
        <w:spacing w:line="360" w:lineRule="auto"/>
        <w:jc w:val="center"/>
        <w:rPr>
          <w:rFonts w:hint="default" w:ascii="Times New Roman" w:hAnsi="Times New Roman" w:eastAsia="宋体" w:cs="Times New Roman"/>
          <w:b/>
          <w:bCs/>
          <w:color w:val="auto"/>
        </w:rPr>
      </w:pPr>
    </w:p>
    <w:p w14:paraId="260C91C8">
      <w:pPr>
        <w:spacing w:line="360" w:lineRule="auto"/>
        <w:jc w:val="center"/>
        <w:rPr>
          <w:rFonts w:hint="default" w:ascii="Times New Roman" w:hAnsi="Times New Roman" w:eastAsia="宋体" w:cs="Times New Roman"/>
          <w:b/>
          <w:bCs/>
          <w:color w:val="auto"/>
        </w:rPr>
      </w:pPr>
    </w:p>
    <w:p w14:paraId="38CBD214">
      <w:pPr>
        <w:spacing w:line="360" w:lineRule="auto"/>
        <w:jc w:val="center"/>
        <w:rPr>
          <w:rFonts w:hint="default" w:ascii="Times New Roman" w:hAnsi="Times New Roman" w:eastAsia="宋体" w:cs="Times New Roman"/>
          <w:b/>
          <w:bCs/>
          <w:color w:val="auto"/>
        </w:rPr>
      </w:pPr>
    </w:p>
    <w:p w14:paraId="034919BE">
      <w:pPr>
        <w:spacing w:line="360" w:lineRule="auto"/>
        <w:jc w:val="center"/>
        <w:rPr>
          <w:rFonts w:hint="default" w:ascii="Times New Roman" w:hAnsi="Times New Roman" w:eastAsia="宋体" w:cs="Times New Roman"/>
          <w:b/>
          <w:bCs/>
          <w:color w:val="auto"/>
        </w:rPr>
      </w:pPr>
    </w:p>
    <w:p w14:paraId="3CE571C6">
      <w:pPr>
        <w:spacing w:line="360" w:lineRule="auto"/>
        <w:jc w:val="center"/>
        <w:rPr>
          <w:rFonts w:hint="default" w:ascii="Times New Roman" w:hAnsi="Times New Roman" w:eastAsia="宋体" w:cs="Times New Roman"/>
          <w:b/>
          <w:bCs/>
          <w:color w:val="auto"/>
        </w:rPr>
      </w:pPr>
    </w:p>
    <w:p w14:paraId="2610E8A1">
      <w:pPr>
        <w:spacing w:line="360" w:lineRule="auto"/>
        <w:jc w:val="center"/>
        <w:rPr>
          <w:rFonts w:hint="default" w:ascii="Times New Roman" w:hAnsi="Times New Roman" w:eastAsia="宋体" w:cs="Times New Roman"/>
          <w:b/>
          <w:bCs/>
          <w:color w:val="auto"/>
        </w:rPr>
      </w:pPr>
    </w:p>
    <w:p w14:paraId="466CD175">
      <w:pPr>
        <w:spacing w:line="360" w:lineRule="auto"/>
        <w:jc w:val="center"/>
        <w:rPr>
          <w:rFonts w:hint="default" w:ascii="Times New Roman" w:hAnsi="Times New Roman" w:eastAsia="宋体" w:cs="Times New Roman"/>
          <w:b/>
          <w:bCs/>
          <w:color w:val="auto"/>
        </w:rPr>
      </w:pPr>
    </w:p>
    <w:p w14:paraId="5655AAA7">
      <w:pPr>
        <w:spacing w:line="360" w:lineRule="auto"/>
        <w:jc w:val="center"/>
        <w:rPr>
          <w:rFonts w:hint="default" w:ascii="Times New Roman" w:hAnsi="Times New Roman" w:eastAsia="宋体" w:cs="Times New Roman"/>
          <w:b/>
          <w:bCs/>
          <w:color w:val="auto"/>
        </w:rPr>
      </w:pPr>
    </w:p>
    <w:p w14:paraId="7E3ECA9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黑体" w:cs="Times New Roman"/>
          <w:b/>
          <w:bCs/>
          <w:color w:val="auto"/>
          <w:spacing w:val="1134"/>
          <w:sz w:val="32"/>
          <w:szCs w:val="40"/>
          <w:highlight w:val="none"/>
          <w:lang w:val="en-US" w:eastAsia="zh-CN"/>
        </w:rPr>
      </w:pPr>
      <w:r>
        <w:rPr>
          <w:rFonts w:hint="default" w:ascii="Times New Roman" w:hAnsi="Times New Roman" w:eastAsia="黑体" w:cs="Times New Roman"/>
          <w:b/>
          <w:bCs/>
          <w:color w:val="auto"/>
          <w:spacing w:val="64"/>
          <w:kern w:val="0"/>
          <w:sz w:val="32"/>
          <w:szCs w:val="40"/>
          <w:highlight w:val="none"/>
          <w:fitText w:val="2560" w:id="217064950"/>
          <w:lang w:val="en-US" w:eastAsia="zh-CN"/>
        </w:rPr>
        <w:t>广东省林业</w:t>
      </w:r>
      <w:r>
        <w:rPr>
          <w:rFonts w:hint="default" w:ascii="Times New Roman" w:hAnsi="Times New Roman" w:eastAsia="黑体" w:cs="Times New Roman"/>
          <w:b/>
          <w:bCs/>
          <w:color w:val="auto"/>
          <w:spacing w:val="0"/>
          <w:kern w:val="0"/>
          <w:sz w:val="32"/>
          <w:szCs w:val="40"/>
          <w:highlight w:val="none"/>
          <w:fitText w:val="2560" w:id="217064950"/>
          <w:lang w:val="en-US" w:eastAsia="zh-CN"/>
        </w:rPr>
        <w:t>局</w:t>
      </w:r>
    </w:p>
    <w:p w14:paraId="126832D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黑体" w:cs="Times New Roman"/>
          <w:b/>
          <w:bCs/>
          <w:color w:val="auto"/>
          <w:sz w:val="32"/>
          <w:szCs w:val="40"/>
          <w:highlight w:val="none"/>
          <w:lang w:val="en-US" w:eastAsia="zh-CN"/>
        </w:rPr>
        <w:sectPr>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黑体" w:cs="Times New Roman"/>
          <w:b/>
          <w:bCs/>
          <w:color w:val="auto"/>
          <w:spacing w:val="26"/>
          <w:kern w:val="0"/>
          <w:sz w:val="32"/>
          <w:szCs w:val="40"/>
          <w:highlight w:val="none"/>
          <w:fitText w:val="2560" w:id="1"/>
          <w:lang w:val="en-US" w:eastAsia="zh-CN"/>
        </w:rPr>
        <w:t>二〇二六年四</w:t>
      </w:r>
      <w:r>
        <w:rPr>
          <w:rFonts w:hint="default" w:ascii="Times New Roman" w:hAnsi="Times New Roman" w:eastAsia="黑体" w:cs="Times New Roman"/>
          <w:b/>
          <w:bCs/>
          <w:color w:val="auto"/>
          <w:spacing w:val="4"/>
          <w:kern w:val="0"/>
          <w:sz w:val="32"/>
          <w:szCs w:val="40"/>
          <w:highlight w:val="none"/>
          <w:fitText w:val="2560" w:id="1"/>
          <w:lang w:val="en-US" w:eastAsia="zh-CN"/>
        </w:rPr>
        <w:t>月</w:t>
      </w:r>
    </w:p>
    <w:p w14:paraId="20D8EC9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both"/>
        <w:textAlignment w:val="auto"/>
        <w:outlineLvl w:val="9"/>
        <w:rPr>
          <w:rFonts w:hint="default" w:ascii="Times New Roman" w:hAnsi="Times New Roman" w:eastAsia="黑体" w:cs="Times New Roman"/>
          <w:b/>
          <w:bCs/>
          <w:color w:val="auto"/>
          <w:sz w:val="32"/>
          <w:szCs w:val="40"/>
          <w:highlight w:val="none"/>
          <w:lang w:val="en-US" w:eastAsia="zh-CN"/>
        </w:rPr>
        <w:sectPr>
          <w:pgSz w:w="11906" w:h="16838"/>
          <w:pgMar w:top="1440" w:right="1800" w:bottom="1440" w:left="1800" w:header="851" w:footer="992" w:gutter="0"/>
          <w:pgNumType w:fmt="decimal" w:start="1"/>
          <w:cols w:space="425" w:num="1"/>
          <w:docGrid w:type="lines" w:linePitch="312" w:charSpace="0"/>
        </w:sectPr>
      </w:pPr>
    </w:p>
    <w:p w14:paraId="0EF06E5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left="0" w:leftChars="0" w:firstLine="0" w:firstLineChars="0"/>
        <w:jc w:val="center"/>
        <w:textAlignment w:val="auto"/>
        <w:outlineLvl w:val="9"/>
        <w:rPr>
          <w:rFonts w:hint="default" w:ascii="Times New Roman" w:hAnsi="Times New Roman" w:eastAsia="黑体" w:cs="Times New Roman"/>
          <w:b/>
          <w:bCs/>
          <w:color w:val="auto"/>
          <w:sz w:val="32"/>
          <w:szCs w:val="40"/>
          <w:highlight w:val="none"/>
          <w:lang w:val="en-US" w:eastAsia="zh-CN"/>
        </w:rPr>
      </w:pPr>
      <w:r>
        <w:rPr>
          <w:rFonts w:hint="default" w:ascii="Times New Roman" w:hAnsi="Times New Roman" w:eastAsia="黑体" w:cs="Times New Roman"/>
          <w:b/>
          <w:bCs/>
          <w:color w:val="auto"/>
          <w:sz w:val="32"/>
          <w:szCs w:val="40"/>
          <w:highlight w:val="none"/>
          <w:lang w:val="en-US" w:eastAsia="zh-CN"/>
        </w:rPr>
        <w:t>目  录</w:t>
      </w:r>
    </w:p>
    <w:p w14:paraId="7F62D9D8">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
          <w:bCs/>
          <w:color w:val="auto"/>
          <w:sz w:val="32"/>
          <w:szCs w:val="32"/>
          <w:highlight w:val="none"/>
          <w:lang w:val="en-US" w:eastAsia="zh-CN"/>
        </w:rPr>
        <w:fldChar w:fldCharType="begin"/>
      </w:r>
      <w:r>
        <w:rPr>
          <w:rFonts w:hint="default" w:ascii="Times New Roman" w:hAnsi="Times New Roman" w:eastAsia="仿宋" w:cs="Times New Roman"/>
          <w:b/>
          <w:bCs/>
          <w:color w:val="auto"/>
          <w:sz w:val="32"/>
          <w:szCs w:val="32"/>
          <w:highlight w:val="none"/>
          <w:lang w:val="en-US" w:eastAsia="zh-CN"/>
        </w:rPr>
        <w:instrText xml:space="preserve">TOC \o "1-2" \h \u </w:instrText>
      </w:r>
      <w:r>
        <w:rPr>
          <w:rFonts w:hint="default" w:ascii="Times New Roman" w:hAnsi="Times New Roman" w:eastAsia="仿宋" w:cs="Times New Roman"/>
          <w:b/>
          <w:bCs/>
          <w:color w:val="auto"/>
          <w:sz w:val="32"/>
          <w:szCs w:val="32"/>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_Toc19952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highlight w:val="none"/>
          <w:lang w:val="en-US" w:eastAsia="zh-CN"/>
        </w:rPr>
        <w:t>第一章 林业发展总体要求</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_Toc19952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1</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532AA855">
      <w:pPr>
        <w:pStyle w:val="13"/>
        <w:tabs>
          <w:tab w:val="right" w:leader="dot" w:pos="8306"/>
        </w:tabs>
        <w:rPr>
          <w:rFonts w:hint="default" w:ascii="Times New Roman" w:hAnsi="Times New Roman" w:eastAsia="仿宋"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_Toc22059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仿宋" w:cs="Times New Roman"/>
          <w:bCs w:val="0"/>
          <w:sz w:val="32"/>
          <w:szCs w:val="56"/>
          <w:highlight w:val="none"/>
          <w:lang w:val="en-US" w:eastAsia="zh-CN"/>
        </w:rPr>
        <w:t>第一节 指导思想</w:t>
      </w:r>
      <w:r>
        <w:rPr>
          <w:rFonts w:hint="default" w:ascii="Times New Roman" w:hAnsi="Times New Roman" w:eastAsia="仿宋" w:cs="Times New Roman"/>
          <w:sz w:val="32"/>
          <w:szCs w:val="40"/>
        </w:rPr>
        <w:tab/>
      </w:r>
      <w:r>
        <w:rPr>
          <w:rFonts w:hint="default" w:ascii="Times New Roman" w:hAnsi="Times New Roman" w:eastAsia="仿宋" w:cs="Times New Roman"/>
          <w:sz w:val="32"/>
          <w:szCs w:val="40"/>
        </w:rPr>
        <w:fldChar w:fldCharType="begin"/>
      </w:r>
      <w:r>
        <w:rPr>
          <w:rFonts w:hint="default" w:ascii="Times New Roman" w:hAnsi="Times New Roman" w:eastAsia="仿宋" w:cs="Times New Roman"/>
          <w:sz w:val="32"/>
          <w:szCs w:val="40"/>
        </w:rPr>
        <w:instrText xml:space="preserve"> PAGEREF _Toc22059 \h </w:instrText>
      </w:r>
      <w:r>
        <w:rPr>
          <w:rFonts w:hint="default" w:ascii="Times New Roman" w:hAnsi="Times New Roman" w:eastAsia="仿宋" w:cs="Times New Roman"/>
          <w:sz w:val="32"/>
          <w:szCs w:val="40"/>
        </w:rPr>
        <w:fldChar w:fldCharType="separate"/>
      </w:r>
      <w:r>
        <w:rPr>
          <w:rFonts w:hint="default" w:ascii="Times New Roman" w:hAnsi="Times New Roman" w:eastAsia="仿宋" w:cs="Times New Roman"/>
          <w:sz w:val="32"/>
          <w:szCs w:val="40"/>
        </w:rPr>
        <w:t>1</w:t>
      </w:r>
      <w:r>
        <w:rPr>
          <w:rFonts w:hint="default" w:ascii="Times New Roman" w:hAnsi="Times New Roman" w:eastAsia="仿宋"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5D46D495">
      <w:pPr>
        <w:pStyle w:val="13"/>
        <w:tabs>
          <w:tab w:val="right" w:leader="dot" w:pos="8306"/>
        </w:tabs>
        <w:rPr>
          <w:rFonts w:hint="default" w:ascii="Times New Roman" w:hAnsi="Times New Roman" w:eastAsia="仿宋"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_Toc30881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仿宋" w:cs="Times New Roman"/>
          <w:bCs w:val="0"/>
          <w:sz w:val="32"/>
          <w:szCs w:val="56"/>
          <w:highlight w:val="none"/>
          <w:lang w:val="en-US" w:eastAsia="zh-CN"/>
        </w:rPr>
        <w:t>第二节 基本原则</w:t>
      </w:r>
      <w:r>
        <w:rPr>
          <w:rFonts w:hint="default" w:ascii="Times New Roman" w:hAnsi="Times New Roman" w:eastAsia="仿宋" w:cs="Times New Roman"/>
          <w:sz w:val="32"/>
          <w:szCs w:val="40"/>
        </w:rPr>
        <w:tab/>
      </w:r>
      <w:r>
        <w:rPr>
          <w:rFonts w:hint="default" w:ascii="Times New Roman" w:hAnsi="Times New Roman" w:eastAsia="仿宋" w:cs="Times New Roman"/>
          <w:sz w:val="32"/>
          <w:szCs w:val="40"/>
        </w:rPr>
        <w:fldChar w:fldCharType="begin"/>
      </w:r>
      <w:r>
        <w:rPr>
          <w:rFonts w:hint="default" w:ascii="Times New Roman" w:hAnsi="Times New Roman" w:eastAsia="仿宋" w:cs="Times New Roman"/>
          <w:sz w:val="32"/>
          <w:szCs w:val="40"/>
        </w:rPr>
        <w:instrText xml:space="preserve"> PAGEREF _Toc30881 \h </w:instrText>
      </w:r>
      <w:r>
        <w:rPr>
          <w:rFonts w:hint="default" w:ascii="Times New Roman" w:hAnsi="Times New Roman" w:eastAsia="仿宋" w:cs="Times New Roman"/>
          <w:sz w:val="32"/>
          <w:szCs w:val="40"/>
        </w:rPr>
        <w:fldChar w:fldCharType="separate"/>
      </w:r>
      <w:r>
        <w:rPr>
          <w:rFonts w:hint="default" w:ascii="Times New Roman" w:hAnsi="Times New Roman" w:eastAsia="仿宋" w:cs="Times New Roman"/>
          <w:sz w:val="32"/>
          <w:szCs w:val="40"/>
        </w:rPr>
        <w:t>1</w:t>
      </w:r>
      <w:r>
        <w:rPr>
          <w:rFonts w:hint="default" w:ascii="Times New Roman" w:hAnsi="Times New Roman" w:eastAsia="仿宋"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C3872E2">
      <w:pPr>
        <w:pStyle w:val="13"/>
        <w:tabs>
          <w:tab w:val="right" w:leader="dot" w:pos="8306"/>
        </w:tabs>
        <w:rPr>
          <w:rFonts w:hint="default" w:ascii="Times New Roman" w:hAnsi="Times New Roman" w:eastAsia="仿宋"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_Toc6591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仿宋" w:cs="Times New Roman"/>
          <w:bCs w:val="0"/>
          <w:sz w:val="32"/>
          <w:szCs w:val="56"/>
          <w:highlight w:val="none"/>
          <w:lang w:val="en-US" w:eastAsia="zh-CN"/>
        </w:rPr>
        <w:t>第三节 发展战略</w:t>
      </w:r>
      <w:r>
        <w:rPr>
          <w:rFonts w:hint="default" w:ascii="Times New Roman" w:hAnsi="Times New Roman" w:eastAsia="仿宋" w:cs="Times New Roman"/>
          <w:sz w:val="32"/>
          <w:szCs w:val="40"/>
        </w:rPr>
        <w:tab/>
      </w:r>
      <w:r>
        <w:rPr>
          <w:rFonts w:hint="default" w:ascii="Times New Roman" w:hAnsi="Times New Roman" w:eastAsia="仿宋" w:cs="Times New Roman"/>
          <w:sz w:val="32"/>
          <w:szCs w:val="40"/>
        </w:rPr>
        <w:fldChar w:fldCharType="begin"/>
      </w:r>
      <w:r>
        <w:rPr>
          <w:rFonts w:hint="default" w:ascii="Times New Roman" w:hAnsi="Times New Roman" w:eastAsia="仿宋" w:cs="Times New Roman"/>
          <w:sz w:val="32"/>
          <w:szCs w:val="40"/>
        </w:rPr>
        <w:instrText xml:space="preserve"> PAGEREF _Toc6591 \h </w:instrText>
      </w:r>
      <w:r>
        <w:rPr>
          <w:rFonts w:hint="default" w:ascii="Times New Roman" w:hAnsi="Times New Roman" w:eastAsia="仿宋" w:cs="Times New Roman"/>
          <w:sz w:val="32"/>
          <w:szCs w:val="40"/>
        </w:rPr>
        <w:fldChar w:fldCharType="separate"/>
      </w:r>
      <w:r>
        <w:rPr>
          <w:rFonts w:hint="default" w:ascii="Times New Roman" w:hAnsi="Times New Roman" w:eastAsia="仿宋" w:cs="Times New Roman"/>
          <w:sz w:val="32"/>
          <w:szCs w:val="40"/>
        </w:rPr>
        <w:t>2</w:t>
      </w:r>
      <w:r>
        <w:rPr>
          <w:rFonts w:hint="default" w:ascii="Times New Roman" w:hAnsi="Times New Roman" w:eastAsia="仿宋"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0C93D5A">
      <w:pPr>
        <w:pStyle w:val="13"/>
        <w:tabs>
          <w:tab w:val="right" w:leader="dot" w:pos="8306"/>
        </w:tabs>
        <w:rPr>
          <w:rFonts w:hint="default" w:ascii="Times New Roman" w:hAnsi="Times New Roman" w:eastAsia="仿宋"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_Toc12056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仿宋" w:cs="Times New Roman"/>
          <w:bCs w:val="0"/>
          <w:sz w:val="32"/>
          <w:szCs w:val="56"/>
          <w:highlight w:val="none"/>
          <w:lang w:val="en-US" w:eastAsia="zh-CN"/>
        </w:rPr>
        <w:t>第四节 发展目标</w:t>
      </w:r>
      <w:r>
        <w:rPr>
          <w:rFonts w:hint="default" w:ascii="Times New Roman" w:hAnsi="Times New Roman" w:eastAsia="仿宋" w:cs="Times New Roman"/>
          <w:sz w:val="32"/>
          <w:szCs w:val="40"/>
        </w:rPr>
        <w:tab/>
      </w:r>
      <w:r>
        <w:rPr>
          <w:rFonts w:hint="default" w:ascii="Times New Roman" w:hAnsi="Times New Roman" w:eastAsia="仿宋" w:cs="Times New Roman"/>
          <w:sz w:val="32"/>
          <w:szCs w:val="40"/>
        </w:rPr>
        <w:fldChar w:fldCharType="begin"/>
      </w:r>
      <w:r>
        <w:rPr>
          <w:rFonts w:hint="default" w:ascii="Times New Roman" w:hAnsi="Times New Roman" w:eastAsia="仿宋" w:cs="Times New Roman"/>
          <w:sz w:val="32"/>
          <w:szCs w:val="40"/>
        </w:rPr>
        <w:instrText xml:space="preserve"> PAGEREF _Toc12056 \h </w:instrText>
      </w:r>
      <w:r>
        <w:rPr>
          <w:rFonts w:hint="default" w:ascii="Times New Roman" w:hAnsi="Times New Roman" w:eastAsia="仿宋" w:cs="Times New Roman"/>
          <w:sz w:val="32"/>
          <w:szCs w:val="40"/>
        </w:rPr>
        <w:fldChar w:fldCharType="separate"/>
      </w:r>
      <w:r>
        <w:rPr>
          <w:rFonts w:hint="default" w:ascii="Times New Roman" w:hAnsi="Times New Roman" w:eastAsia="仿宋" w:cs="Times New Roman"/>
          <w:sz w:val="32"/>
          <w:szCs w:val="40"/>
        </w:rPr>
        <w:t>2</w:t>
      </w:r>
      <w:r>
        <w:rPr>
          <w:rFonts w:hint="default" w:ascii="Times New Roman" w:hAnsi="Times New Roman" w:eastAsia="仿宋"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71DB556">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_Toc3681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highlight w:val="none"/>
          <w:lang w:val="en-US" w:eastAsia="zh-CN"/>
        </w:rPr>
        <w:t>第二章 建立国土绿化空间治理体系，构建从山顶到海洋的全域生态修复与保护格局</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_Toc3681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5</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3B3E0CA4">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_Toc13880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科学布局国土绿化空间</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_Toc13880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5</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48AA5641">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_Toc17040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持续推进森林质量精准提升</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_Toc17040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5747576">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_Toc21276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加强湿地生态保护修复</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_Toc21276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10</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5FFC979F">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_Toc32044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第四节 建设岭南生态宜居绿美城乡</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_Toc32044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12</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0BA2367">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_Toc13971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highlight w:val="none"/>
          <w:lang w:val="en-US" w:eastAsia="zh-CN"/>
        </w:rPr>
        <w:t>第三章 构建以国家公园为主体的自然保护地体系，打造人与自然和谐共生典范</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_Toc13971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15</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668F561">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_Toc17289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优化自然保护地空间格局</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_Toc17289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15</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40F2B57F">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_Toc4440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高质量建设国家公园</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_Toc4440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15</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0E87E373">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_Toc10567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高水平建设自然保护区和自然公园</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_Toc10567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15</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B4E3E41">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_Toc32534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第四节 提升自然保护地管理效能</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_Toc32534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3EF7225">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_Toc32714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第五节 推动自然保护地绿色发展</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_Toc32714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59D67E29">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_Toc9846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highlight w:val="none"/>
          <w:lang w:val="en-US" w:eastAsia="zh-CN"/>
        </w:rPr>
        <w:t>第四章 建设动植物保护体系，实现生物多样性永续传承</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_Toc9846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17</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9D02174">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_Toc27268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岭南特色植物园体系</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_Toc27268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17</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F183EE9">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_Toc7891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推进动物迁地保护</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_Toc7891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17</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39C7DAC6">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_Toc18028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加强陆生野生动物疫源疫病监测预警</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_Toc18028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18</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38F2BCC8">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_Toc28736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第四节 加强生物多样性保护与利用</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_Toc28736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19</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5802CCE5">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_Toc1625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rPr>
        <w:t>第</w:t>
      </w:r>
      <w:r>
        <w:rPr>
          <w:rFonts w:hint="default" w:ascii="Times New Roman" w:hAnsi="Times New Roman" w:eastAsia="黑体" w:cs="Times New Roman"/>
          <w:bCs/>
          <w:sz w:val="32"/>
          <w:szCs w:val="56"/>
          <w:lang w:val="en-US" w:eastAsia="zh-CN"/>
        </w:rPr>
        <w:t>五</w:t>
      </w:r>
      <w:r>
        <w:rPr>
          <w:rFonts w:hint="default" w:ascii="Times New Roman" w:hAnsi="Times New Roman" w:eastAsia="黑体" w:cs="Times New Roman"/>
          <w:bCs/>
          <w:sz w:val="32"/>
          <w:szCs w:val="56"/>
        </w:rPr>
        <w:t>章 健全林业产业发展体系，激活兴业富民新动能</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_Toc1625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20</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5CA3E360">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_Toc26881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推动林业产业转型升级</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_Toc26881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20</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6A604618">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_Toc29472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创新产业发展路径</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_Toc29472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23</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3FF84331">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_Toc7090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拓展“两山”路径转化</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_Toc7090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24</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8B37BC5">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_Toc30108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highlight w:val="none"/>
          <w:lang w:val="en-US" w:eastAsia="zh-CN"/>
        </w:rPr>
        <w:t>第六章 健全林业现代化治理体系，筑牢林业保护发展根基</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_Toc30108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26</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3AA49290">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_Toc13225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加大林地林木管护力度</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_Toc13225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26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0528988">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_Toc530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加强林草种质资源保护利用</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_Toc530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27</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6A9701F1">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_Toc31060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提升森林火灾防控能力</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_Toc31060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28</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047761E4">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_Toc14219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第四节 强化重大林业有害生物防控</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_Toc14219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30</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56F2F3CC">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_Toc28323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第五节 加强林区基础设施建设</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_Toc28323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30</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434297D">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_Toc6932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第六节 推进智慧林业建设</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_Toc6932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31</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AB1DBAA">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_Toc27591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第七节 提升林业综合治理能力</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_Toc27591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32</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5CCEAF3">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_Toc22031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highlight w:val="none"/>
          <w:lang w:val="en-US" w:eastAsia="zh-CN"/>
        </w:rPr>
        <w:t>第七章 全面深化改革，激发林业发展新动力</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_Toc22031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35</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4179A834">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_Toc9921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深化集体林权制度改革</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_Toc9921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35</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0B5EEFA">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_Toc22520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推进绿美综合试点改革</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_Toc22520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35</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0E13C21A">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_Toc9373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推进现代化国有林场建设</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_Toc9373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03DD2779">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_Toc32578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第四节 完善森林可持续经营制度</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_Toc32578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9EABC26">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_Toc18762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第五节 推进林业要素保障机制改革​</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_Toc18762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6915B755">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_Toc19005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rPr>
        <w:t>第</w:t>
      </w:r>
      <w:r>
        <w:rPr>
          <w:rFonts w:hint="default" w:ascii="Times New Roman" w:hAnsi="Times New Roman" w:eastAsia="黑体" w:cs="Times New Roman"/>
          <w:bCs/>
          <w:sz w:val="32"/>
          <w:szCs w:val="56"/>
          <w:lang w:val="en-US" w:eastAsia="zh-CN"/>
        </w:rPr>
        <w:t>八</w:t>
      </w:r>
      <w:r>
        <w:rPr>
          <w:rFonts w:hint="default" w:ascii="Times New Roman" w:hAnsi="Times New Roman" w:eastAsia="黑体" w:cs="Times New Roman"/>
          <w:bCs/>
          <w:sz w:val="32"/>
          <w:szCs w:val="56"/>
        </w:rPr>
        <w:t>章 强化科技创新，引领发展林业新质生产力</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_Toc19005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38</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34D99DF2">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_Toc9070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增强林业科研创新能力</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_Toc9070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38</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3B7A463">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_Toc22574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推进林业科技成果转化</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_Toc22574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39</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62FDCFFA">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_Toc15274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健全林业技术标准体系</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_Toc15274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40</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CEBBE58">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_Toc1007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第四节 引进培育林业创新人才队伍</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_Toc1007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40</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E9FC81F">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_Toc11047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kern w:val="2"/>
          <w:sz w:val="32"/>
          <w:szCs w:val="56"/>
          <w:lang w:val="en-US" w:eastAsia="zh-CN" w:bidi="ar-SA"/>
        </w:rPr>
        <w:t xml:space="preserve">第九章 </w:t>
      </w:r>
      <w:r>
        <w:rPr>
          <w:rFonts w:hint="default" w:ascii="Times New Roman" w:hAnsi="Times New Roman" w:eastAsia="黑体" w:cs="Times New Roman"/>
          <w:bCs/>
          <w:sz w:val="32"/>
          <w:szCs w:val="56"/>
          <w:highlight w:val="none"/>
          <w:lang w:val="en-US" w:eastAsia="zh-CN"/>
        </w:rPr>
        <w:t>弘扬“岳山造林”光荣传统，培育纵深推进绿美广东生态建设行动自觉</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_Toc11047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42</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D456B62">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_Toc27864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打造南粤人文林业精神标识</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_Toc27864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42</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7EF4B7A">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_Toc7015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推进全民参与生态建设</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_Toc7015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43</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BE63C12">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_Toc10184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健全自然教育体系</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_Toc10184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43</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4E1EE021">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_Toc8614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第四节 丰富文化体验场景</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_Toc8614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44</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2E01DF8">
      <w:pPr>
        <w:pStyle w:val="11"/>
        <w:tabs>
          <w:tab w:val="right" w:leader="dot" w:pos="8306"/>
        </w:tabs>
        <w:rPr>
          <w:rFonts w:hint="default" w:ascii="Times New Roman" w:hAnsi="Times New Roman" w:cs="Times New Roman"/>
          <w:sz w:val="32"/>
          <w:szCs w:val="40"/>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_Toc24957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56"/>
          <w:highlight w:val="none"/>
          <w:lang w:val="en-US" w:eastAsia="zh-CN"/>
        </w:rPr>
        <w:t>第十章 强化规划实施保障，确保蓝图落地见效</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_Toc24957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46</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5E7B0832">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_Toc14935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第一节 加强党的全面领导</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_Toc14935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51817E0">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_Toc17563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第二节 推进规划体系建设</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_Toc17563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57D6B95">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_Toc3460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第三节 健全规划实施机制</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_Toc3460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7032A194">
      <w:pPr>
        <w:pStyle w:val="13"/>
        <w:tabs>
          <w:tab w:val="right" w:leader="dot" w:pos="8306"/>
        </w:tabs>
        <w:rPr>
          <w:rFonts w:hint="default" w:ascii="Times New Roman" w:hAnsi="Times New Roman" w:eastAsia="仿宋" w:cs="Times New Roman"/>
          <w:bCs/>
          <w:color w:val="auto"/>
          <w:sz w:val="32"/>
          <w:szCs w:val="48"/>
          <w:highlight w:val="none"/>
          <w:lang w:val="en-US" w:eastAsia="zh-C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HYPERLINK \l _Toc18715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第四节 强化政策和资金保障</w:t>
      </w:r>
      <w:r>
        <w:rPr>
          <w:rFonts w:hint="default" w:ascii="Times New Roman" w:hAnsi="Times New Roman" w:eastAsia="仿宋" w:cs="Times New Roman"/>
          <w:bCs/>
          <w:color w:val="auto"/>
          <w:sz w:val="32"/>
          <w:szCs w:val="48"/>
          <w:highlight w:val="none"/>
          <w:lang w:val="en-US" w:eastAsia="zh-CN"/>
        </w:rPr>
        <w:tab/>
      </w: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color w:val="auto"/>
          <w:sz w:val="32"/>
          <w:szCs w:val="48"/>
          <w:highlight w:val="none"/>
          <w:lang w:val="en-US" w:eastAsia="zh-CN"/>
        </w:rPr>
        <w:instrText xml:space="preserve"> PAGEREF _Toc18715 \h </w:instrText>
      </w:r>
      <w:r>
        <w:rPr>
          <w:rFonts w:hint="default" w:ascii="Times New Roman" w:hAnsi="Times New Roman" w:eastAsia="仿宋" w:cs="Times New Roman"/>
          <w:bCs/>
          <w:color w:val="auto"/>
          <w:sz w:val="32"/>
          <w:szCs w:val="48"/>
          <w:highlight w:val="none"/>
          <w:lang w:val="en-US" w:eastAsia="zh-CN"/>
        </w:rPr>
        <w:fldChar w:fldCharType="separate"/>
      </w:r>
      <w:r>
        <w:rPr>
          <w:rFonts w:hint="default" w:ascii="Times New Roman" w:hAnsi="Times New Roman" w:eastAsia="仿宋" w:cs="Times New Roman"/>
          <w:bCs/>
          <w:color w:val="auto"/>
          <w:sz w:val="32"/>
          <w:szCs w:val="48"/>
          <w:highlight w:val="none"/>
          <w:lang w:val="en-US" w:eastAsia="zh-CN"/>
        </w:rPr>
        <w:t>46</w:t>
      </w:r>
      <w:r>
        <w:rPr>
          <w:rFonts w:hint="default" w:ascii="Times New Roman" w:hAnsi="Times New Roman" w:eastAsia="仿宋" w:cs="Times New Roman"/>
          <w:bCs/>
          <w:color w:val="auto"/>
          <w:sz w:val="32"/>
          <w:szCs w:val="48"/>
          <w:highlight w:val="none"/>
          <w:lang w:val="en-US" w:eastAsia="zh-CN"/>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277AC7E2">
      <w:pPr>
        <w:pStyle w:val="11"/>
        <w:tabs>
          <w:tab w:val="right" w:leader="dot" w:pos="8306"/>
        </w:tabs>
        <w:rPr>
          <w:rFonts w:hint="default" w:ascii="Times New Roman" w:hAnsi="Times New Roman" w:cs="Times New Roman"/>
        </w:rPr>
      </w:pPr>
      <w:r>
        <w:rPr>
          <w:rFonts w:hint="default" w:ascii="Times New Roman" w:hAnsi="Times New Roman" w:eastAsia="仿宋" w:cs="Times New Roman"/>
          <w:bCs/>
          <w:color w:val="auto"/>
          <w:sz w:val="32"/>
          <w:szCs w:val="48"/>
          <w:highlight w:val="none"/>
          <w:lang w:val="en-US" w:eastAsia="zh-CN"/>
        </w:rPr>
        <w:fldChar w:fldCharType="begin"/>
      </w:r>
      <w:r>
        <w:rPr>
          <w:rFonts w:hint="default" w:ascii="Times New Roman" w:hAnsi="Times New Roman" w:eastAsia="仿宋" w:cs="Times New Roman"/>
          <w:bCs/>
          <w:sz w:val="32"/>
          <w:szCs w:val="48"/>
          <w:highlight w:val="none"/>
          <w:lang w:val="en-US" w:eastAsia="zh-CN"/>
        </w:rPr>
        <w:instrText xml:space="preserve"> HYPERLINK \l _Toc11025 </w:instrText>
      </w:r>
      <w:r>
        <w:rPr>
          <w:rFonts w:hint="default" w:ascii="Times New Roman" w:hAnsi="Times New Roman" w:eastAsia="仿宋" w:cs="Times New Roman"/>
          <w:bCs/>
          <w:sz w:val="32"/>
          <w:szCs w:val="48"/>
          <w:highlight w:val="none"/>
          <w:lang w:val="en-US" w:eastAsia="zh-CN"/>
        </w:rPr>
        <w:fldChar w:fldCharType="separate"/>
      </w:r>
      <w:r>
        <w:rPr>
          <w:rFonts w:hint="default" w:ascii="Times New Roman" w:hAnsi="Times New Roman" w:eastAsia="黑体" w:cs="Times New Roman"/>
          <w:bCs/>
          <w:sz w:val="32"/>
          <w:szCs w:val="48"/>
          <w:lang w:val="en-US" w:eastAsia="zh-CN"/>
        </w:rPr>
        <w:t>附录  主要指标说明</w:t>
      </w:r>
      <w:r>
        <w:rPr>
          <w:rFonts w:hint="default" w:ascii="Times New Roman" w:hAnsi="Times New Roman" w:cs="Times New Roman"/>
          <w:sz w:val="32"/>
          <w:szCs w:val="40"/>
        </w:rPr>
        <w:tab/>
      </w:r>
      <w:r>
        <w:rPr>
          <w:rFonts w:hint="default" w:ascii="Times New Roman" w:hAnsi="Times New Roman" w:cs="Times New Roman"/>
          <w:sz w:val="32"/>
          <w:szCs w:val="40"/>
        </w:rPr>
        <w:fldChar w:fldCharType="begin"/>
      </w:r>
      <w:r>
        <w:rPr>
          <w:rFonts w:hint="default" w:ascii="Times New Roman" w:hAnsi="Times New Roman" w:cs="Times New Roman"/>
          <w:sz w:val="32"/>
          <w:szCs w:val="40"/>
        </w:rPr>
        <w:instrText xml:space="preserve"> PAGEREF _Toc11025 \h </w:instrText>
      </w:r>
      <w:r>
        <w:rPr>
          <w:rFonts w:hint="default" w:ascii="Times New Roman" w:hAnsi="Times New Roman" w:cs="Times New Roman"/>
          <w:sz w:val="32"/>
          <w:szCs w:val="40"/>
        </w:rPr>
        <w:fldChar w:fldCharType="separate"/>
      </w:r>
      <w:r>
        <w:rPr>
          <w:rFonts w:hint="default" w:ascii="Times New Roman" w:hAnsi="Times New Roman" w:cs="Times New Roman"/>
          <w:sz w:val="32"/>
          <w:szCs w:val="40"/>
        </w:rPr>
        <w:t>48</w:t>
      </w:r>
      <w:r>
        <w:rPr>
          <w:rFonts w:hint="default" w:ascii="Times New Roman" w:hAnsi="Times New Roman" w:cs="Times New Roman"/>
          <w:sz w:val="32"/>
          <w:szCs w:val="40"/>
        </w:rPr>
        <w:fldChar w:fldCharType="end"/>
      </w:r>
      <w:r>
        <w:rPr>
          <w:rFonts w:hint="default" w:ascii="Times New Roman" w:hAnsi="Times New Roman" w:eastAsia="仿宋" w:cs="Times New Roman"/>
          <w:bCs/>
          <w:color w:val="auto"/>
          <w:sz w:val="32"/>
          <w:szCs w:val="48"/>
          <w:highlight w:val="none"/>
          <w:lang w:val="en-US" w:eastAsia="zh-CN"/>
        </w:rPr>
        <w:fldChar w:fldCharType="end"/>
      </w:r>
    </w:p>
    <w:p w14:paraId="1D67EC8C">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left="0" w:leftChars="0" w:firstLine="0" w:firstLineChars="0"/>
        <w:jc w:val="center"/>
        <w:textAlignment w:val="auto"/>
        <w:outlineLvl w:val="9"/>
        <w:rPr>
          <w:rFonts w:hint="default" w:ascii="Times New Roman" w:hAnsi="Times New Roman" w:eastAsia="黑体" w:cs="Times New Roman"/>
          <w:b/>
          <w:bCs/>
          <w:color w:val="auto"/>
          <w:sz w:val="32"/>
          <w:szCs w:val="40"/>
          <w:highlight w:val="none"/>
          <w:lang w:val="en-US" w:eastAsia="zh-CN"/>
        </w:rPr>
        <w:sectPr>
          <w:footerReference r:id="rId3" w:type="default"/>
          <w:pgSz w:w="11906" w:h="16838"/>
          <w:pgMar w:top="1440" w:right="1800" w:bottom="1440" w:left="1800" w:header="851" w:footer="992" w:gutter="0"/>
          <w:pgNumType w:fmt="upperRoman" w:start="1"/>
          <w:cols w:space="425" w:num="1"/>
          <w:docGrid w:type="lines" w:linePitch="312" w:charSpace="0"/>
        </w:sectPr>
      </w:pPr>
      <w:r>
        <w:rPr>
          <w:rFonts w:hint="default" w:ascii="Times New Roman" w:hAnsi="Times New Roman" w:eastAsia="仿宋" w:cs="Times New Roman"/>
          <w:bCs/>
          <w:color w:val="auto"/>
          <w:szCs w:val="32"/>
          <w:highlight w:val="none"/>
          <w:lang w:val="en-US" w:eastAsia="zh-CN"/>
        </w:rPr>
        <w:fldChar w:fldCharType="end"/>
      </w:r>
    </w:p>
    <w:p w14:paraId="44B601E6">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both"/>
        <w:textAlignment w:val="auto"/>
        <w:outlineLvl w:val="9"/>
        <w:rPr>
          <w:rFonts w:hint="default" w:ascii="Times New Roman" w:hAnsi="Times New Roman" w:eastAsia="黑体" w:cs="Times New Roman"/>
          <w:b/>
          <w:bCs/>
          <w:color w:val="auto"/>
          <w:sz w:val="32"/>
          <w:szCs w:val="40"/>
          <w:highlight w:val="none"/>
          <w:lang w:val="en-US"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4555A14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0"/>
        <w:rPr>
          <w:rFonts w:hint="default" w:ascii="Times New Roman" w:hAnsi="Times New Roman" w:eastAsia="黑体" w:cs="Times New Roman"/>
          <w:b/>
          <w:bCs/>
          <w:color w:val="auto"/>
          <w:sz w:val="32"/>
          <w:szCs w:val="40"/>
          <w:highlight w:val="none"/>
          <w:lang w:val="en-US" w:eastAsia="zh-CN"/>
        </w:rPr>
      </w:pPr>
      <w:bookmarkStart w:id="0" w:name="_Toc19952"/>
      <w:bookmarkStart w:id="1" w:name="_Toc32047"/>
      <w:r>
        <w:rPr>
          <w:rFonts w:hint="default" w:ascii="Times New Roman" w:hAnsi="Times New Roman" w:eastAsia="黑体" w:cs="Times New Roman"/>
          <w:b/>
          <w:bCs/>
          <w:color w:val="auto"/>
          <w:sz w:val="32"/>
          <w:szCs w:val="40"/>
          <w:highlight w:val="none"/>
          <w:lang w:val="en-US" w:eastAsia="zh-CN"/>
        </w:rPr>
        <w:t>第一章 林业发展总体要求</w:t>
      </w:r>
      <w:bookmarkEnd w:id="0"/>
    </w:p>
    <w:p w14:paraId="570CA7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广东省委、省政府高度重视林业建设，从“岳山造林”到“五年消灭荒山、十年绿化广东”，再到建设林业生态省、开展新一轮绿化广东大行动，历经近半世纪的历史接力，林业实现可持续发展，为经济社会高质量发展筑牢生态根基。2022年，中</w:t>
      </w:r>
      <w:r>
        <w:rPr>
          <w:rFonts w:hint="default" w:ascii="Times New Roman" w:hAnsi="Times New Roman" w:eastAsia="仿宋" w:cs="Times New Roman"/>
          <w:i w:val="0"/>
          <w:iCs w:val="0"/>
          <w:caps w:val="0"/>
          <w:color w:val="auto"/>
          <w:spacing w:val="0"/>
          <w:sz w:val="32"/>
          <w:szCs w:val="32"/>
          <w:highlight w:val="none"/>
          <w:shd w:val="clear"/>
          <w:lang w:val="en-US" w:eastAsia="zh-CN"/>
        </w:rPr>
        <w:t>共广东省委部署全面推进</w:t>
      </w:r>
      <w:r>
        <w:rPr>
          <w:rFonts w:hint="default" w:ascii="Times New Roman" w:hAnsi="Times New Roman" w:eastAsia="仿宋" w:cs="Times New Roman"/>
          <w:i w:val="0"/>
          <w:iCs w:val="0"/>
          <w:caps w:val="0"/>
          <w:color w:val="auto"/>
          <w:spacing w:val="0"/>
          <w:sz w:val="32"/>
          <w:szCs w:val="32"/>
          <w:highlight w:val="none"/>
          <w:shd w:val="clear"/>
        </w:rPr>
        <w:t>绿美广东</w:t>
      </w:r>
      <w:r>
        <w:rPr>
          <w:rFonts w:hint="default" w:ascii="Times New Roman" w:hAnsi="Times New Roman" w:eastAsia="仿宋" w:cs="Times New Roman"/>
          <w:i w:val="0"/>
          <w:iCs w:val="0"/>
          <w:caps w:val="0"/>
          <w:color w:val="auto"/>
          <w:spacing w:val="0"/>
          <w:sz w:val="32"/>
          <w:szCs w:val="32"/>
          <w:highlight w:val="none"/>
          <w:shd w:val="clear"/>
          <w:lang w:val="en-US" w:eastAsia="zh-CN"/>
        </w:rPr>
        <w:t>生态建设</w:t>
      </w:r>
      <w:r>
        <w:rPr>
          <w:rFonts w:hint="default" w:ascii="Times New Roman" w:hAnsi="Times New Roman" w:eastAsia="仿宋" w:cs="Times New Roman"/>
          <w:i w:val="0"/>
          <w:iCs w:val="0"/>
          <w:caps w:val="0"/>
          <w:color w:val="auto"/>
          <w:spacing w:val="0"/>
          <w:sz w:val="32"/>
          <w:szCs w:val="32"/>
          <w:highlight w:val="none"/>
          <w:shd w:val="clear"/>
        </w:rPr>
        <w:t>，</w:t>
      </w:r>
      <w:r>
        <w:rPr>
          <w:rFonts w:hint="default" w:ascii="Times New Roman" w:hAnsi="Times New Roman" w:eastAsia="仿宋" w:cs="Times New Roman"/>
          <w:i w:val="0"/>
          <w:iCs w:val="0"/>
          <w:caps w:val="0"/>
          <w:color w:val="auto"/>
          <w:spacing w:val="0"/>
          <w:sz w:val="32"/>
          <w:szCs w:val="32"/>
          <w:highlight w:val="none"/>
          <w:shd w:val="clear"/>
          <w:lang w:val="en-US" w:eastAsia="zh-CN"/>
        </w:rPr>
        <w:t>这既是</w:t>
      </w:r>
      <w:r>
        <w:rPr>
          <w:rFonts w:hint="default" w:ascii="Times New Roman" w:hAnsi="Times New Roman" w:eastAsia="仿宋" w:cs="Times New Roman"/>
          <w:color w:val="auto"/>
          <w:kern w:val="0"/>
          <w:sz w:val="32"/>
          <w:szCs w:val="32"/>
          <w:highlight w:val="none"/>
          <w:lang w:val="en-US" w:eastAsia="zh-CN"/>
        </w:rPr>
        <w:t>广东生态文明建设的战略牵引，也是关系广东长远发展和民生福祉的重要工程</w:t>
      </w:r>
      <w:r>
        <w:rPr>
          <w:rFonts w:hint="default" w:ascii="Times New Roman" w:hAnsi="Times New Roman" w:eastAsia="仿宋" w:cs="Times New Roman"/>
          <w:i w:val="0"/>
          <w:iCs w:val="0"/>
          <w:caps w:val="0"/>
          <w:color w:val="auto"/>
          <w:spacing w:val="0"/>
          <w:sz w:val="32"/>
          <w:szCs w:val="32"/>
          <w:highlight w:val="none"/>
          <w:lang w:eastAsia="zh-CN"/>
        </w:rPr>
        <w:t>。</w:t>
      </w:r>
      <w:r>
        <w:rPr>
          <w:rFonts w:hint="default" w:ascii="Times New Roman" w:hAnsi="Times New Roman" w:eastAsia="仿宋" w:cs="Times New Roman"/>
          <w:i w:val="0"/>
          <w:iCs w:val="0"/>
          <w:caps w:val="0"/>
          <w:color w:val="auto"/>
          <w:spacing w:val="0"/>
          <w:sz w:val="32"/>
          <w:szCs w:val="32"/>
          <w:highlight w:val="none"/>
          <w:lang w:val="en-US" w:eastAsia="zh-CN"/>
        </w:rPr>
        <w:t>绿美广东的</w:t>
      </w:r>
      <w:r>
        <w:rPr>
          <w:rFonts w:hint="default" w:ascii="Times New Roman" w:hAnsi="Times New Roman" w:eastAsia="仿宋" w:cs="Times New Roman"/>
          <w:i w:val="0"/>
          <w:iCs w:val="0"/>
          <w:caps w:val="0"/>
          <w:color w:val="auto"/>
          <w:spacing w:val="0"/>
          <w:sz w:val="32"/>
          <w:szCs w:val="32"/>
          <w:highlight w:val="none"/>
          <w:shd w:val="clear"/>
          <w:lang w:val="en-US" w:eastAsia="zh-CN"/>
        </w:rPr>
        <w:t>愿景蓝图已然绘就，</w:t>
      </w:r>
      <w:r>
        <w:rPr>
          <w:rFonts w:hint="default" w:ascii="Times New Roman" w:hAnsi="Times New Roman" w:eastAsia="仿宋" w:cs="Times New Roman"/>
          <w:color w:val="auto"/>
          <w:kern w:val="0"/>
          <w:sz w:val="32"/>
          <w:szCs w:val="32"/>
          <w:highlight w:val="none"/>
          <w:lang w:val="en-US" w:eastAsia="zh-CN"/>
        </w:rPr>
        <w:t>“十五五”时期，</w:t>
      </w:r>
      <w:r>
        <w:rPr>
          <w:rFonts w:hint="default" w:ascii="Times New Roman" w:hAnsi="Times New Roman" w:eastAsia="仿宋" w:cs="Times New Roman"/>
          <w:i w:val="0"/>
          <w:iCs w:val="0"/>
          <w:caps w:val="0"/>
          <w:color w:val="auto"/>
          <w:spacing w:val="0"/>
          <w:sz w:val="32"/>
          <w:szCs w:val="32"/>
          <w:highlight w:val="none"/>
          <w:shd w:val="clear"/>
          <w:lang w:val="en-US" w:eastAsia="zh-CN"/>
        </w:rPr>
        <w:t>广东林业必须在新的起点上继续保持战略定力，</w:t>
      </w:r>
      <w:r>
        <w:rPr>
          <w:rFonts w:hint="default" w:ascii="Times New Roman" w:hAnsi="Times New Roman" w:eastAsia="仿宋" w:cs="Times New Roman"/>
          <w:color w:val="auto"/>
          <w:kern w:val="0"/>
          <w:sz w:val="32"/>
          <w:szCs w:val="32"/>
          <w:highlight w:val="none"/>
          <w:lang w:val="en-US" w:eastAsia="zh-CN"/>
        </w:rPr>
        <w:t>纵深推进绿美广东生态建设，打造人与自然和谐共生的绿美广东样板，走出新时代绿水青山就是金山银山的广东路径。</w:t>
      </w:r>
    </w:p>
    <w:p w14:paraId="3EAE265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2" w:name="_Toc22059"/>
      <w:r>
        <w:rPr>
          <w:rFonts w:hint="default" w:ascii="Times New Roman" w:hAnsi="Times New Roman" w:eastAsia="黑体" w:cs="Times New Roman"/>
          <w:b w:val="0"/>
          <w:bCs w:val="0"/>
          <w:color w:val="auto"/>
          <w:sz w:val="32"/>
          <w:szCs w:val="40"/>
          <w:highlight w:val="none"/>
          <w:lang w:val="en-US" w:eastAsia="zh-CN"/>
        </w:rPr>
        <w:t>第一节 指导思想</w:t>
      </w:r>
      <w:bookmarkEnd w:id="2"/>
    </w:p>
    <w:p w14:paraId="210D18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以习近平新时代中国特色社会主义思想为指导，深入践行习近平生态文明思想，全面贯彻党的二十大和二十届历次全会精神，聚焦省委“1310”具体部署，以“走在前、作示范、挑大梁”担当，坚持“三绿”并举、“四库”联动，突出“提质、兴业、利民”，弘扬“岳山造林”传统，夯实基础、全面发力，推动林业高质量发展，全力打造绿美生态建设先行省，聚力建设美丽中国的南粤典范。</w:t>
      </w:r>
    </w:p>
    <w:p w14:paraId="194401E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3" w:name="_Toc30881"/>
      <w:r>
        <w:rPr>
          <w:rFonts w:hint="default" w:ascii="Times New Roman" w:hAnsi="Times New Roman" w:eastAsia="黑体" w:cs="Times New Roman"/>
          <w:b w:val="0"/>
          <w:bCs w:val="0"/>
          <w:color w:val="auto"/>
          <w:sz w:val="32"/>
          <w:szCs w:val="40"/>
          <w:highlight w:val="none"/>
          <w:lang w:val="en-US" w:eastAsia="zh-CN"/>
        </w:rPr>
        <w:t>第二节 基本原则</w:t>
      </w:r>
      <w:bookmarkEnd w:id="3"/>
    </w:p>
    <w:p w14:paraId="35D503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一、坚持科学保护，构建绿美生态格局。</w:t>
      </w:r>
      <w:r>
        <w:rPr>
          <w:rFonts w:hint="default" w:ascii="Times New Roman" w:hAnsi="Times New Roman" w:eastAsia="仿宋" w:cs="Times New Roman"/>
          <w:color w:val="auto"/>
          <w:kern w:val="0"/>
          <w:sz w:val="32"/>
          <w:szCs w:val="32"/>
          <w:highlight w:val="none"/>
          <w:lang w:val="en-US" w:eastAsia="zh-CN"/>
        </w:rPr>
        <w:t>以自然恢复为主、人工修复为辅，提升生态系统质量和稳定性，统筹点、线、面生态空间全域联动，持续筑牢生态安全屏障。</w:t>
      </w:r>
    </w:p>
    <w:p w14:paraId="45008B4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二、坚持系统治理，夯实绿色发展根基。</w:t>
      </w:r>
      <w:r>
        <w:rPr>
          <w:rFonts w:hint="default" w:ascii="Times New Roman" w:hAnsi="Times New Roman" w:eastAsia="仿宋" w:cs="Times New Roman"/>
          <w:color w:val="auto"/>
          <w:kern w:val="0"/>
          <w:sz w:val="32"/>
          <w:szCs w:val="32"/>
          <w:highlight w:val="none"/>
          <w:lang w:val="en-US" w:eastAsia="zh-CN"/>
        </w:rPr>
        <w:t>统筹山水林田湖草沙一体化保护和系统治理，聚焦重点区域，构建从山顶到海洋的保护治理格局，打造通山达海的绿美空间。</w:t>
      </w:r>
    </w:p>
    <w:p w14:paraId="719A16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三、坚持产业惠民，推动生态优势转化。</w:t>
      </w:r>
      <w:r>
        <w:rPr>
          <w:rFonts w:hint="default" w:ascii="Times New Roman" w:hAnsi="Times New Roman" w:eastAsia="仿宋" w:cs="Times New Roman"/>
          <w:color w:val="auto"/>
          <w:kern w:val="0"/>
          <w:sz w:val="32"/>
          <w:szCs w:val="32"/>
          <w:highlight w:val="none"/>
          <w:lang w:val="en-US" w:eastAsia="zh-CN"/>
        </w:rPr>
        <w:t>完善“两山”转化机制，推动产业生态化与生态产业化，壮大产业规模、提升产业质量，实现生态美、产业强、百姓富有机统一。</w:t>
      </w:r>
    </w:p>
    <w:p w14:paraId="238162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四、坚持深化改革，激发创新发展动能。</w:t>
      </w:r>
      <w:r>
        <w:rPr>
          <w:rFonts w:hint="default" w:ascii="Times New Roman" w:hAnsi="Times New Roman" w:eastAsia="仿宋" w:cs="Times New Roman"/>
          <w:color w:val="auto"/>
          <w:kern w:val="0"/>
          <w:sz w:val="32"/>
          <w:szCs w:val="32"/>
          <w:highlight w:val="none"/>
          <w:lang w:val="en-US" w:eastAsia="zh-CN"/>
        </w:rPr>
        <w:t>深化关键领域改革，强化科技创新与产业创新双轮驱动，因地制宜发展林业新质生产力，充分释放林业高质量发展新活力。</w:t>
      </w:r>
    </w:p>
    <w:p w14:paraId="2D6EF8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五、坚持区域协同，提升城乡生态能级。</w:t>
      </w:r>
      <w:r>
        <w:rPr>
          <w:rFonts w:hint="default" w:ascii="Times New Roman" w:hAnsi="Times New Roman" w:eastAsia="仿宋" w:cs="Times New Roman"/>
          <w:color w:val="auto"/>
          <w:kern w:val="0"/>
          <w:sz w:val="32"/>
          <w:szCs w:val="32"/>
          <w:highlight w:val="none"/>
          <w:lang w:val="en-US" w:eastAsia="zh-CN"/>
        </w:rPr>
        <w:t>推进林网、水网、路网“三网”融合，提升“五边”“四旁”绿化品质，促进城乡生态空间融合，打造城乡协同的美丽家园。</w:t>
      </w:r>
    </w:p>
    <w:p w14:paraId="2F3B044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4" w:name="_Toc6591"/>
      <w:r>
        <w:rPr>
          <w:rFonts w:hint="default" w:ascii="Times New Roman" w:hAnsi="Times New Roman" w:eastAsia="黑体" w:cs="Times New Roman"/>
          <w:b w:val="0"/>
          <w:bCs w:val="0"/>
          <w:color w:val="auto"/>
          <w:sz w:val="32"/>
          <w:szCs w:val="40"/>
          <w:highlight w:val="none"/>
          <w:lang w:val="en-US" w:eastAsia="zh-CN"/>
        </w:rPr>
        <w:t>第三节 发展战略</w:t>
      </w:r>
      <w:bookmarkEnd w:id="4"/>
    </w:p>
    <w:p w14:paraId="1AD451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lang w:val="en-US" w:eastAsia="zh-CN"/>
        </w:rPr>
        <w:t>为完成“十五五”时期广东林业发展各项目标，确定“1521”战略，奋力实现“五个新突破”，推动广东林业现代化建设取得标志性成效。</w:t>
      </w:r>
    </w:p>
    <w:p w14:paraId="3870AE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一个战略牵引：</w:t>
      </w:r>
      <w:r>
        <w:rPr>
          <w:rFonts w:hint="default" w:ascii="Times New Roman" w:hAnsi="Times New Roman" w:eastAsia="仿宋" w:cs="Times New Roman"/>
          <w:color w:val="auto"/>
          <w:kern w:val="0"/>
          <w:sz w:val="32"/>
          <w:szCs w:val="32"/>
          <w:highlight w:val="none"/>
          <w:lang w:val="en-US" w:eastAsia="zh-CN"/>
        </w:rPr>
        <w:t>以绿美广东生态建设为战略牵引。</w:t>
      </w:r>
    </w:p>
    <w:p w14:paraId="460028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构建五大体系：</w:t>
      </w:r>
      <w:r>
        <w:rPr>
          <w:rFonts w:hint="default" w:ascii="Times New Roman" w:hAnsi="Times New Roman" w:eastAsia="仿宋" w:cs="Times New Roman"/>
          <w:color w:val="auto"/>
          <w:kern w:val="0"/>
          <w:sz w:val="32"/>
          <w:szCs w:val="32"/>
          <w:highlight w:val="none"/>
          <w:lang w:val="en-US" w:eastAsia="zh-CN"/>
        </w:rPr>
        <w:t>系统构建生态保护修复、自然保护地建设、动植物保护、林业产业发展、林业现代化治理五大体系。</w:t>
      </w:r>
    </w:p>
    <w:p w14:paraId="14B7C6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两大发展动力：</w:t>
      </w:r>
      <w:r>
        <w:rPr>
          <w:rFonts w:hint="default" w:ascii="Times New Roman" w:hAnsi="Times New Roman" w:eastAsia="仿宋" w:cs="Times New Roman"/>
          <w:b w:val="0"/>
          <w:bCs w:val="0"/>
          <w:color w:val="auto"/>
          <w:sz w:val="32"/>
          <w:szCs w:val="32"/>
          <w:highlight w:val="none"/>
          <w:lang w:val="en-US" w:eastAsia="zh-CN"/>
        </w:rPr>
        <w:t>持续全面深化改革与强化科技创新。</w:t>
      </w:r>
    </w:p>
    <w:p w14:paraId="4547BD0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bCs/>
          <w:color w:val="auto"/>
          <w:kern w:val="0"/>
          <w:sz w:val="32"/>
          <w:szCs w:val="32"/>
          <w:highlight w:val="none"/>
          <w:lang w:val="en-US" w:eastAsia="zh-CN"/>
        </w:rPr>
        <w:t>一个光荣传统：</w:t>
      </w:r>
      <w:r>
        <w:rPr>
          <w:rFonts w:hint="default" w:ascii="Times New Roman" w:hAnsi="Times New Roman" w:eastAsia="仿宋" w:cs="Times New Roman"/>
          <w:b w:val="0"/>
          <w:bCs w:val="0"/>
          <w:color w:val="auto"/>
          <w:sz w:val="32"/>
          <w:szCs w:val="32"/>
          <w:highlight w:val="none"/>
          <w:lang w:val="en-US" w:eastAsia="zh-CN"/>
        </w:rPr>
        <w:t>大力弘扬“岳山造林”光荣传统</w:t>
      </w:r>
      <w:r>
        <w:rPr>
          <w:rFonts w:hint="default" w:ascii="Times New Roman" w:hAnsi="Times New Roman" w:eastAsia="仿宋" w:cs="Times New Roman"/>
          <w:color w:val="auto"/>
          <w:kern w:val="0"/>
          <w:sz w:val="32"/>
          <w:szCs w:val="32"/>
          <w:highlight w:val="none"/>
          <w:lang w:val="en-US" w:eastAsia="zh-CN"/>
        </w:rPr>
        <w:t>。</w:t>
      </w:r>
    </w:p>
    <w:p w14:paraId="7903FC1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5" w:name="_Toc12056"/>
      <w:r>
        <w:rPr>
          <w:rFonts w:hint="default" w:ascii="Times New Roman" w:hAnsi="Times New Roman" w:eastAsia="黑体" w:cs="Times New Roman"/>
          <w:b w:val="0"/>
          <w:bCs w:val="0"/>
          <w:color w:val="auto"/>
          <w:sz w:val="32"/>
          <w:szCs w:val="40"/>
          <w:highlight w:val="none"/>
          <w:lang w:val="en-US" w:eastAsia="zh-CN"/>
        </w:rPr>
        <w:t>第四节 发展目标</w:t>
      </w:r>
      <w:bookmarkEnd w:id="5"/>
    </w:p>
    <w:p w14:paraId="4A22F5D1">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一、总体目标</w:t>
      </w:r>
    </w:p>
    <w:p w14:paraId="1A5BCA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楷体" w:cs="Times New Roman"/>
          <w:b w:val="0"/>
          <w:bCs w:val="0"/>
          <w:color w:val="auto"/>
          <w:sz w:val="32"/>
          <w:szCs w:val="32"/>
          <w:highlight w:val="none"/>
          <w:lang w:val="en-US" w:eastAsia="zh-CN"/>
        </w:rPr>
        <w:t>到2030年，绿美广东生态建设取得积极进展，林业现代化建设取得显著成效。</w:t>
      </w:r>
      <w:r>
        <w:rPr>
          <w:rFonts w:hint="default" w:ascii="Times New Roman" w:hAnsi="Times New Roman" w:eastAsia="仿宋" w:cs="Times New Roman"/>
          <w:b w:val="0"/>
          <w:bCs w:val="0"/>
          <w:color w:val="auto"/>
          <w:sz w:val="32"/>
          <w:szCs w:val="32"/>
          <w:highlight w:val="none"/>
          <w:lang w:val="en-US" w:eastAsia="zh-CN"/>
        </w:rPr>
        <w:t>绿色家底持续增厚，城乡绿化水平得到系统性提升，生物多样性保护网络基本形成，林业治理能力显著提升，人民群众对绿美生态建设的获得感、幸福感显著增强。</w:t>
      </w:r>
    </w:p>
    <w:p w14:paraId="34267D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kern w:val="2"/>
          <w:sz w:val="32"/>
          <w:szCs w:val="32"/>
          <w:highlight w:val="none"/>
          <w:lang w:val="en-US" w:eastAsia="zh-CN"/>
        </w:rPr>
      </w:pPr>
      <w:r>
        <w:rPr>
          <w:rFonts w:hint="default" w:ascii="Times New Roman" w:hAnsi="Times New Roman" w:eastAsia="楷体" w:cs="Times New Roman"/>
          <w:b w:val="0"/>
          <w:bCs w:val="0"/>
          <w:color w:val="auto"/>
          <w:sz w:val="32"/>
          <w:szCs w:val="32"/>
          <w:highlight w:val="none"/>
          <w:lang w:val="en-US" w:eastAsia="zh-CN"/>
        </w:rPr>
        <w:t>——在打造人与自然和谐共生的现代化广东样板上取得新突破。</w:t>
      </w:r>
      <w:r>
        <w:rPr>
          <w:rFonts w:hint="default" w:ascii="Times New Roman" w:hAnsi="Times New Roman" w:eastAsia="仿宋" w:cs="Times New Roman"/>
          <w:b w:val="0"/>
          <w:bCs w:val="0"/>
          <w:color w:val="auto"/>
          <w:kern w:val="2"/>
          <w:sz w:val="32"/>
          <w:szCs w:val="32"/>
          <w:highlight w:val="none"/>
          <w:lang w:val="en-US" w:eastAsia="zh-CN"/>
        </w:rPr>
        <w:t>持续推进</w:t>
      </w:r>
      <w:r>
        <w:rPr>
          <w:rFonts w:hint="default" w:ascii="Times New Roman" w:hAnsi="Times New Roman" w:eastAsia="仿宋" w:cs="Times New Roman"/>
          <w:b w:val="0"/>
          <w:bCs w:val="0"/>
          <w:color w:val="auto"/>
          <w:kern w:val="2"/>
          <w:sz w:val="32"/>
          <w:szCs w:val="32"/>
          <w:highlight w:val="none"/>
        </w:rPr>
        <w:t>六大行动，</w:t>
      </w:r>
      <w:r>
        <w:rPr>
          <w:rFonts w:hint="default" w:ascii="Times New Roman" w:hAnsi="Times New Roman" w:eastAsia="仿宋" w:cs="Times New Roman"/>
          <w:b w:val="0"/>
          <w:bCs w:val="0"/>
          <w:color w:val="auto"/>
          <w:kern w:val="2"/>
          <w:sz w:val="32"/>
          <w:szCs w:val="32"/>
          <w:highlight w:val="none"/>
          <w:lang w:val="en-US" w:eastAsia="zh-CN"/>
        </w:rPr>
        <w:t>全面推进</w:t>
      </w:r>
      <w:r>
        <w:rPr>
          <w:rFonts w:hint="default" w:ascii="Times New Roman" w:hAnsi="Times New Roman" w:eastAsia="仿宋" w:cs="Times New Roman"/>
          <w:b w:val="0"/>
          <w:bCs w:val="0"/>
          <w:color w:val="auto"/>
          <w:kern w:val="2"/>
          <w:sz w:val="32"/>
          <w:szCs w:val="32"/>
          <w:highlight w:val="none"/>
        </w:rPr>
        <w:t>岭南特色植物园体系、珠三角大美湿地体系、粤港澳大湾区内湾绿带、国有林场样板带动工程</w:t>
      </w:r>
      <w:r>
        <w:rPr>
          <w:rFonts w:hint="default" w:ascii="Times New Roman" w:hAnsi="Times New Roman" w:eastAsia="仿宋" w:cs="Times New Roman"/>
          <w:b w:val="0"/>
          <w:bCs w:val="0"/>
          <w:color w:val="auto"/>
          <w:kern w:val="2"/>
          <w:sz w:val="32"/>
          <w:szCs w:val="32"/>
          <w:highlight w:val="none"/>
          <w:lang w:val="en-US" w:eastAsia="zh-CN"/>
        </w:rPr>
        <w:t>等建设，</w:t>
      </w:r>
      <w:r>
        <w:rPr>
          <w:rFonts w:hint="default" w:ascii="Times New Roman" w:hAnsi="Times New Roman" w:eastAsia="仿宋" w:cs="Times New Roman"/>
          <w:b w:val="0"/>
          <w:bCs w:val="0"/>
          <w:color w:val="auto"/>
          <w:sz w:val="32"/>
          <w:szCs w:val="32"/>
          <w:highlight w:val="none"/>
          <w:lang w:val="en-US" w:eastAsia="zh-CN"/>
        </w:rPr>
        <w:t>建好管好绿美点绿美带，增进绿美生态民生福祉，让绿美广东更加可观、可感、可及。</w:t>
      </w:r>
    </w:p>
    <w:p w14:paraId="7AAAE3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楷体" w:cs="Times New Roman"/>
          <w:b w:val="0"/>
          <w:bCs w:val="0"/>
          <w:color w:val="auto"/>
          <w:sz w:val="32"/>
          <w:szCs w:val="32"/>
          <w:highlight w:val="none"/>
          <w:lang w:val="en-US" w:eastAsia="zh-CN"/>
        </w:rPr>
        <w:t>——在推动生态惠民促进“两山”转化上取得新突破。</w:t>
      </w:r>
      <w:r>
        <w:rPr>
          <w:rFonts w:hint="default" w:ascii="Times New Roman" w:hAnsi="Times New Roman" w:eastAsia="仿宋" w:cs="Times New Roman"/>
          <w:b w:val="0"/>
          <w:bCs w:val="0"/>
          <w:color w:val="auto"/>
          <w:sz w:val="32"/>
          <w:szCs w:val="32"/>
          <w:highlight w:val="none"/>
          <w:lang w:val="en-US" w:eastAsia="zh-CN"/>
        </w:rPr>
        <w:t>以优势产业、新兴产业、未来产业“三产联动”为引擎，推动林业产业集群发展；以生态链、产业链、利益链“三链融合”为要点，推动全产业链融合发展；以资源化、资产化、资本化“三化融合”为突破，打通“两山”转化有效路径。</w:t>
      </w:r>
    </w:p>
    <w:p w14:paraId="62FEF8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楷体" w:cs="Times New Roman"/>
          <w:b w:val="0"/>
          <w:bCs w:val="0"/>
          <w:color w:val="auto"/>
          <w:sz w:val="32"/>
          <w:szCs w:val="32"/>
          <w:highlight w:val="none"/>
          <w:lang w:val="en-US" w:eastAsia="zh-CN"/>
        </w:rPr>
        <w:t>——在发展新质生产力释放发展新动能上取得新突破。</w:t>
      </w:r>
      <w:r>
        <w:rPr>
          <w:rFonts w:hint="default" w:ascii="Times New Roman" w:hAnsi="Times New Roman" w:eastAsia="仿宋" w:cs="Times New Roman"/>
          <w:b w:val="0"/>
          <w:bCs w:val="0"/>
          <w:color w:val="auto"/>
          <w:sz w:val="32"/>
          <w:szCs w:val="32"/>
          <w:highlight w:val="none"/>
          <w:lang w:val="en-US" w:eastAsia="zh-CN"/>
        </w:rPr>
        <w:t>集聚优质科研力量开展原创性、引领性科技攻关，突破一批“卡脖子”关键技术瓶颈和共性难题。推进林业科技成果转化，拓展新技术应用场景，充分释放林业发展新活力。</w:t>
      </w:r>
    </w:p>
    <w:p w14:paraId="093E19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楷体" w:cs="Times New Roman"/>
          <w:b w:val="0"/>
          <w:bCs w:val="0"/>
          <w:color w:val="auto"/>
          <w:sz w:val="32"/>
          <w:szCs w:val="32"/>
          <w:highlight w:val="none"/>
          <w:lang w:val="en-US" w:eastAsia="zh-CN"/>
        </w:rPr>
        <w:t>——在全面深化林业改革注入发展活力上取得新突破。</w:t>
      </w:r>
      <w:r>
        <w:rPr>
          <w:rFonts w:hint="default" w:ascii="Times New Roman" w:hAnsi="Times New Roman" w:eastAsia="仿宋" w:cs="Times New Roman"/>
          <w:b w:val="0"/>
          <w:bCs w:val="0"/>
          <w:color w:val="auto"/>
          <w:sz w:val="32"/>
          <w:szCs w:val="32"/>
          <w:highlight w:val="none"/>
          <w:lang w:val="en-US" w:eastAsia="zh-CN"/>
        </w:rPr>
        <w:t>持续深化集体林权制度改革，扎实推进绿美综合试点改革，加快建设现代化国有林场，着力破除制约高质量发展的体制机制障碍，持续激发林业发展内生动力。</w:t>
      </w:r>
    </w:p>
    <w:p w14:paraId="36AA16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楷体" w:cs="Times New Roman"/>
          <w:b w:val="0"/>
          <w:bCs w:val="0"/>
          <w:color w:val="auto"/>
          <w:sz w:val="32"/>
          <w:szCs w:val="32"/>
          <w:highlight w:val="none"/>
          <w:lang w:val="en-US" w:eastAsia="zh-CN"/>
        </w:rPr>
        <w:t>——在弘扬“岳山造林”光荣传统繁荣生态文化上取得新突破。</w:t>
      </w:r>
      <w:r>
        <w:rPr>
          <w:rFonts w:hint="default" w:ascii="Times New Roman" w:hAnsi="Times New Roman" w:eastAsia="仿宋" w:cs="Times New Roman"/>
          <w:b w:val="0"/>
          <w:bCs w:val="0"/>
          <w:color w:val="auto"/>
          <w:sz w:val="32"/>
          <w:szCs w:val="32"/>
          <w:highlight w:val="none"/>
          <w:lang w:val="en-US" w:eastAsia="zh-CN"/>
        </w:rPr>
        <w:t>深入挖掘丰富“岳山造林”光荣传统的时代内涵和精神价值，加快南粤红绿径建设，打造多元融合生态文化体验空间，大力发展自然教育产业</w:t>
      </w:r>
      <w:r>
        <w:rPr>
          <w:rFonts w:hint="default" w:ascii="Times New Roman" w:hAnsi="Times New Roman" w:eastAsia="仿宋" w:cs="Times New Roman"/>
          <w:b w:val="0"/>
          <w:bCs w:val="0"/>
          <w:color w:val="auto"/>
          <w:kern w:val="2"/>
          <w:sz w:val="32"/>
          <w:szCs w:val="32"/>
          <w:highlight w:val="none"/>
          <w:lang w:val="en-US" w:eastAsia="zh-CN" w:bidi="ar-SA"/>
        </w:rPr>
        <w:t>，</w:t>
      </w:r>
      <w:r>
        <w:rPr>
          <w:rFonts w:hint="default" w:ascii="Times New Roman" w:hAnsi="Times New Roman" w:eastAsia="仿宋" w:cs="Times New Roman"/>
          <w:b w:val="0"/>
          <w:bCs w:val="0"/>
          <w:color w:val="auto"/>
          <w:sz w:val="32"/>
          <w:szCs w:val="32"/>
          <w:highlight w:val="none"/>
          <w:lang w:val="en-US" w:eastAsia="zh-CN"/>
        </w:rPr>
        <w:t>厚植南粤生态文化底蕴。</w:t>
      </w:r>
    </w:p>
    <w:p w14:paraId="45E0AA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楷体" w:cs="Times New Roman"/>
          <w:b w:val="0"/>
          <w:bCs w:val="0"/>
          <w:color w:val="auto"/>
          <w:sz w:val="32"/>
          <w:szCs w:val="32"/>
          <w:highlight w:val="none"/>
          <w:lang w:val="en-US" w:eastAsia="zh-CN"/>
        </w:rPr>
        <w:t>在此基础上再奋斗五年，到2035年建成人与自然和谐共生的绿美广东样板，率先基本实现林业现代化。</w:t>
      </w:r>
      <w:r>
        <w:rPr>
          <w:rFonts w:hint="default" w:ascii="Times New Roman" w:hAnsi="Times New Roman" w:eastAsia="仿宋" w:cs="Times New Roman"/>
          <w:b w:val="0"/>
          <w:bCs w:val="0"/>
          <w:color w:val="auto"/>
          <w:sz w:val="32"/>
          <w:szCs w:val="32"/>
          <w:highlight w:val="none"/>
          <w:lang w:val="en-US" w:eastAsia="zh-CN"/>
        </w:rPr>
        <w:t>自然生态系统多样性、稳定性、持续性显著增强，多树种、多层次、多色彩的森林植被成为南粤秀美山川的鲜明底色，天蓝、地绿、水清、景美的生态画卷成为广东亮丽名片，绿美生态成为普惠的民生福祉，林业对社会经济高质量发展的贡献明显增强。</w:t>
      </w:r>
    </w:p>
    <w:p w14:paraId="3ACA1101">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二、主要指标</w:t>
      </w:r>
    </w:p>
    <w:p w14:paraId="3B43011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rPr>
          <w:rFonts w:hint="default" w:ascii="Times New Roman" w:hAnsi="Times New Roman" w:eastAsia="仿宋" w:cs="Times New Roman"/>
          <w:b/>
          <w:bCs/>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 xml:space="preserve">表2-1 </w:t>
      </w:r>
      <w:r>
        <w:rPr>
          <w:rFonts w:hint="default" w:ascii="Times New Roman" w:hAnsi="Times New Roman" w:eastAsia="仿宋" w:cs="Times New Roman"/>
          <w:b/>
          <w:bCs/>
          <w:color w:val="auto"/>
          <w:sz w:val="28"/>
          <w:szCs w:val="28"/>
          <w:highlight w:val="none"/>
          <w:lang w:val="en-US" w:eastAsia="zh-CN"/>
        </w:rPr>
        <w:t>广东省林业发展“十五五”规划主要指标</w:t>
      </w:r>
    </w:p>
    <w:tbl>
      <w:tblPr>
        <w:tblStyle w:val="18"/>
        <w:tblW w:w="8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22"/>
        <w:gridCol w:w="1189"/>
        <w:gridCol w:w="1302"/>
        <w:gridCol w:w="1098"/>
        <w:gridCol w:w="976"/>
      </w:tblGrid>
      <w:tr w14:paraId="271A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768" w:type="dxa"/>
            <w:vAlign w:val="center"/>
          </w:tcPr>
          <w:p w14:paraId="201801D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序号</w:t>
            </w:r>
          </w:p>
        </w:tc>
        <w:tc>
          <w:tcPr>
            <w:tcW w:w="3022" w:type="dxa"/>
            <w:vAlign w:val="center"/>
          </w:tcPr>
          <w:p w14:paraId="6261E8D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主要指标</w:t>
            </w:r>
          </w:p>
        </w:tc>
        <w:tc>
          <w:tcPr>
            <w:tcW w:w="1189" w:type="dxa"/>
            <w:vAlign w:val="center"/>
          </w:tcPr>
          <w:p w14:paraId="31D8C67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单位</w:t>
            </w:r>
          </w:p>
        </w:tc>
        <w:tc>
          <w:tcPr>
            <w:tcW w:w="1302" w:type="dxa"/>
            <w:vAlign w:val="center"/>
          </w:tcPr>
          <w:p w14:paraId="7D5004F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现状值</w:t>
            </w:r>
          </w:p>
        </w:tc>
        <w:tc>
          <w:tcPr>
            <w:tcW w:w="1098" w:type="dxa"/>
            <w:vAlign w:val="center"/>
          </w:tcPr>
          <w:p w14:paraId="78D3EC1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目标值</w:t>
            </w:r>
          </w:p>
        </w:tc>
        <w:tc>
          <w:tcPr>
            <w:tcW w:w="976" w:type="dxa"/>
            <w:vAlign w:val="center"/>
          </w:tcPr>
          <w:p w14:paraId="0705B41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b/>
                <w:bCs/>
                <w:color w:val="auto"/>
                <w:sz w:val="21"/>
                <w:szCs w:val="21"/>
                <w:highlight w:val="none"/>
              </w:rPr>
            </w:pPr>
            <w:r>
              <w:rPr>
                <w:rFonts w:hint="default" w:ascii="Times New Roman" w:hAnsi="Times New Roman" w:cs="Times New Roman" w:eastAsiaTheme="minorEastAsia"/>
                <w:b/>
                <w:bCs/>
                <w:color w:val="auto"/>
                <w:sz w:val="21"/>
                <w:szCs w:val="21"/>
                <w:highlight w:val="none"/>
              </w:rPr>
              <w:t>属性</w:t>
            </w:r>
          </w:p>
        </w:tc>
      </w:tr>
      <w:tr w14:paraId="61FB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68" w:type="dxa"/>
            <w:vAlign w:val="center"/>
          </w:tcPr>
          <w:p w14:paraId="5D6BC95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1</w:t>
            </w:r>
          </w:p>
        </w:tc>
        <w:tc>
          <w:tcPr>
            <w:tcW w:w="3022" w:type="dxa"/>
            <w:vAlign w:val="center"/>
          </w:tcPr>
          <w:p w14:paraId="1614153D">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森林覆盖率</w:t>
            </w:r>
          </w:p>
        </w:tc>
        <w:tc>
          <w:tcPr>
            <w:tcW w:w="1189" w:type="dxa"/>
            <w:vAlign w:val="center"/>
          </w:tcPr>
          <w:p w14:paraId="45E9B9F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w:t>
            </w:r>
          </w:p>
        </w:tc>
        <w:tc>
          <w:tcPr>
            <w:tcW w:w="1302" w:type="dxa"/>
            <w:shd w:val="clear" w:color="auto" w:fill="auto"/>
            <w:vAlign w:val="center"/>
          </w:tcPr>
          <w:p w14:paraId="16D17F3F">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eastAsiaTheme="minorEastAsia"/>
                <w:color w:val="auto"/>
                <w:spacing w:val="-6"/>
                <w:sz w:val="21"/>
                <w:szCs w:val="21"/>
                <w:highlight w:val="none"/>
                <w:lang w:val="en-US" w:eastAsia="zh-CN"/>
              </w:rPr>
              <w:t>53.39</w:t>
            </w:r>
          </w:p>
        </w:tc>
        <w:tc>
          <w:tcPr>
            <w:tcW w:w="1098" w:type="dxa"/>
            <w:vAlign w:val="center"/>
          </w:tcPr>
          <w:p w14:paraId="610928D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color w:val="auto"/>
                <w:spacing w:val="-6"/>
                <w:sz w:val="21"/>
                <w:szCs w:val="21"/>
                <w:highlight w:val="none"/>
                <w:lang w:val="en-US" w:eastAsia="zh-CN"/>
              </w:rPr>
              <w:t>待定</w:t>
            </w:r>
          </w:p>
        </w:tc>
        <w:tc>
          <w:tcPr>
            <w:tcW w:w="976" w:type="dxa"/>
            <w:vAlign w:val="center"/>
          </w:tcPr>
          <w:p w14:paraId="114C163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b w:val="0"/>
                <w:bCs w:val="0"/>
                <w:color w:val="auto"/>
                <w:spacing w:val="-6"/>
                <w:sz w:val="21"/>
                <w:szCs w:val="21"/>
                <w:highlight w:val="none"/>
              </w:rPr>
            </w:pPr>
            <w:r>
              <w:rPr>
                <w:rFonts w:hint="default" w:ascii="Times New Roman" w:hAnsi="Times New Roman" w:cs="Times New Roman" w:eastAsiaTheme="minorEastAsia"/>
                <w:b w:val="0"/>
                <w:bCs w:val="0"/>
                <w:color w:val="auto"/>
                <w:spacing w:val="-6"/>
                <w:sz w:val="21"/>
                <w:szCs w:val="21"/>
                <w:highlight w:val="none"/>
              </w:rPr>
              <w:t>约束性</w:t>
            </w:r>
          </w:p>
        </w:tc>
      </w:tr>
      <w:tr w14:paraId="0A5C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68" w:type="dxa"/>
            <w:vAlign w:val="center"/>
          </w:tcPr>
          <w:p w14:paraId="2491912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2</w:t>
            </w:r>
          </w:p>
        </w:tc>
        <w:tc>
          <w:tcPr>
            <w:tcW w:w="3022" w:type="dxa"/>
            <w:vAlign w:val="center"/>
          </w:tcPr>
          <w:p w14:paraId="2C6AAAD5">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森林蓄积量</w:t>
            </w:r>
          </w:p>
        </w:tc>
        <w:tc>
          <w:tcPr>
            <w:tcW w:w="1189" w:type="dxa"/>
            <w:vAlign w:val="center"/>
          </w:tcPr>
          <w:p w14:paraId="11742D4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lang w:val="en-US" w:eastAsia="zh-CN"/>
              </w:rPr>
            </w:pPr>
            <w:r>
              <w:rPr>
                <w:rFonts w:hint="default" w:ascii="Times New Roman" w:hAnsi="Times New Roman" w:cs="Times New Roman" w:eastAsiaTheme="minorEastAsia"/>
                <w:color w:val="auto"/>
                <w:spacing w:val="-6"/>
                <w:sz w:val="21"/>
                <w:szCs w:val="21"/>
                <w:highlight w:val="none"/>
              </w:rPr>
              <w:t>亿</w:t>
            </w:r>
            <w:r>
              <w:rPr>
                <w:rFonts w:hint="default" w:ascii="Times New Roman" w:hAnsi="Times New Roman" w:cs="Times New Roman" w:eastAsiaTheme="minorEastAsia"/>
                <w:color w:val="auto"/>
                <w:spacing w:val="-6"/>
                <w:sz w:val="21"/>
                <w:szCs w:val="21"/>
                <w:highlight w:val="none"/>
                <w:lang w:val="en-US" w:eastAsia="zh-CN"/>
              </w:rPr>
              <w:t>m</w:t>
            </w:r>
            <w:r>
              <w:rPr>
                <w:rFonts w:hint="default" w:ascii="Times New Roman" w:hAnsi="Times New Roman" w:cs="Times New Roman" w:eastAsiaTheme="minorEastAsia"/>
                <w:color w:val="auto"/>
                <w:spacing w:val="-6"/>
                <w:sz w:val="21"/>
                <w:szCs w:val="21"/>
                <w:highlight w:val="none"/>
                <w:vertAlign w:val="superscript"/>
                <w:lang w:val="en-US" w:eastAsia="zh-CN"/>
              </w:rPr>
              <w:t>3</w:t>
            </w:r>
          </w:p>
        </w:tc>
        <w:tc>
          <w:tcPr>
            <w:tcW w:w="1302" w:type="dxa"/>
            <w:shd w:val="clear" w:color="auto" w:fill="auto"/>
            <w:vAlign w:val="center"/>
          </w:tcPr>
          <w:p w14:paraId="0EF0451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eastAsiaTheme="minorEastAsia"/>
                <w:color w:val="auto"/>
                <w:spacing w:val="-6"/>
                <w:sz w:val="21"/>
                <w:szCs w:val="21"/>
                <w:highlight w:val="none"/>
                <w:lang w:val="en-US" w:eastAsia="zh-CN"/>
              </w:rPr>
              <w:t>6.57</w:t>
            </w:r>
          </w:p>
        </w:tc>
        <w:tc>
          <w:tcPr>
            <w:tcW w:w="1098" w:type="dxa"/>
            <w:vAlign w:val="center"/>
          </w:tcPr>
          <w:p w14:paraId="645FF4D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color w:val="auto"/>
                <w:spacing w:val="-6"/>
                <w:sz w:val="21"/>
                <w:szCs w:val="21"/>
                <w:highlight w:val="none"/>
                <w:lang w:val="en-US" w:eastAsia="zh-CN"/>
              </w:rPr>
              <w:t>7.88</w:t>
            </w:r>
          </w:p>
        </w:tc>
        <w:tc>
          <w:tcPr>
            <w:tcW w:w="976" w:type="dxa"/>
            <w:vAlign w:val="center"/>
          </w:tcPr>
          <w:p w14:paraId="4D4D9AB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b w:val="0"/>
                <w:bCs w:val="0"/>
                <w:color w:val="auto"/>
                <w:spacing w:val="-6"/>
                <w:sz w:val="21"/>
                <w:szCs w:val="21"/>
                <w:highlight w:val="none"/>
              </w:rPr>
            </w:pPr>
            <w:r>
              <w:rPr>
                <w:rFonts w:hint="default" w:ascii="Times New Roman" w:hAnsi="Times New Roman" w:cs="Times New Roman" w:eastAsiaTheme="minorEastAsia"/>
                <w:b w:val="0"/>
                <w:bCs w:val="0"/>
                <w:color w:val="auto"/>
                <w:spacing w:val="-6"/>
                <w:sz w:val="21"/>
                <w:szCs w:val="21"/>
                <w:highlight w:val="none"/>
              </w:rPr>
              <w:t>约束性</w:t>
            </w:r>
          </w:p>
        </w:tc>
      </w:tr>
      <w:tr w14:paraId="7AC6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68" w:type="dxa"/>
            <w:shd w:val="clear" w:color="auto" w:fill="auto"/>
            <w:vAlign w:val="center"/>
          </w:tcPr>
          <w:p w14:paraId="2A59556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sz w:val="21"/>
                <w:szCs w:val="21"/>
                <w:highlight w:val="none"/>
                <w:lang w:val="en-US" w:eastAsia="zh-CN"/>
              </w:rPr>
              <w:t>3</w:t>
            </w:r>
          </w:p>
        </w:tc>
        <w:tc>
          <w:tcPr>
            <w:tcW w:w="3022" w:type="dxa"/>
            <w:vAlign w:val="center"/>
          </w:tcPr>
          <w:p w14:paraId="4F378025">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混交林比例</w:t>
            </w:r>
          </w:p>
        </w:tc>
        <w:tc>
          <w:tcPr>
            <w:tcW w:w="1189" w:type="dxa"/>
            <w:vAlign w:val="center"/>
          </w:tcPr>
          <w:p w14:paraId="425FBDA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lang w:val="en-US" w:eastAsia="zh-CN"/>
              </w:rPr>
            </w:pPr>
            <w:r>
              <w:rPr>
                <w:rFonts w:hint="default" w:ascii="Times New Roman" w:hAnsi="Times New Roman" w:cs="Times New Roman" w:eastAsiaTheme="minorEastAsia"/>
                <w:color w:val="auto"/>
                <w:spacing w:val="-6"/>
                <w:sz w:val="21"/>
                <w:szCs w:val="21"/>
                <w:highlight w:val="none"/>
                <w:lang w:val="en-US" w:eastAsia="zh-CN"/>
              </w:rPr>
              <w:t>%</w:t>
            </w:r>
          </w:p>
        </w:tc>
        <w:tc>
          <w:tcPr>
            <w:tcW w:w="1302" w:type="dxa"/>
            <w:shd w:val="clear" w:color="auto" w:fill="auto"/>
            <w:vAlign w:val="center"/>
          </w:tcPr>
          <w:p w14:paraId="6FC1DB4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kern w:val="2"/>
                <w:sz w:val="21"/>
                <w:szCs w:val="21"/>
                <w:highlight w:val="none"/>
                <w:lang w:val="en-US" w:eastAsia="zh-CN" w:bidi="ar-SA"/>
              </w:rPr>
              <w:t>待定</w:t>
            </w:r>
          </w:p>
        </w:tc>
        <w:tc>
          <w:tcPr>
            <w:tcW w:w="1098" w:type="dxa"/>
            <w:vAlign w:val="center"/>
          </w:tcPr>
          <w:p w14:paraId="61FF84C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待定</w:t>
            </w:r>
          </w:p>
        </w:tc>
        <w:tc>
          <w:tcPr>
            <w:tcW w:w="976" w:type="dxa"/>
            <w:vAlign w:val="center"/>
          </w:tcPr>
          <w:p w14:paraId="42988B6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预期性</w:t>
            </w:r>
          </w:p>
        </w:tc>
      </w:tr>
      <w:tr w14:paraId="5BF4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68" w:type="dxa"/>
            <w:shd w:val="clear" w:color="auto" w:fill="auto"/>
            <w:vAlign w:val="center"/>
          </w:tcPr>
          <w:p w14:paraId="5277E0B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sz w:val="21"/>
                <w:szCs w:val="21"/>
                <w:highlight w:val="none"/>
                <w:lang w:val="en-US" w:eastAsia="zh-CN"/>
              </w:rPr>
              <w:t>4</w:t>
            </w:r>
          </w:p>
        </w:tc>
        <w:tc>
          <w:tcPr>
            <w:tcW w:w="3022" w:type="dxa"/>
            <w:shd w:val="clear" w:color="auto" w:fill="auto"/>
            <w:vAlign w:val="center"/>
          </w:tcPr>
          <w:p w14:paraId="3A158B16">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国家</w:t>
            </w:r>
            <w:r>
              <w:rPr>
                <w:rFonts w:hint="default" w:ascii="Times New Roman" w:hAnsi="Times New Roman" w:cs="Times New Roman"/>
                <w:color w:val="auto"/>
                <w:spacing w:val="-6"/>
                <w:sz w:val="21"/>
                <w:szCs w:val="21"/>
                <w:highlight w:val="none"/>
                <w:lang w:val="en-US" w:eastAsia="zh-CN"/>
              </w:rPr>
              <w:t>级</w:t>
            </w:r>
            <w:r>
              <w:rPr>
                <w:rFonts w:hint="default" w:ascii="Times New Roman" w:hAnsi="Times New Roman" w:cs="Times New Roman" w:eastAsiaTheme="minorEastAsia"/>
                <w:color w:val="auto"/>
                <w:spacing w:val="-6"/>
                <w:sz w:val="21"/>
                <w:szCs w:val="21"/>
                <w:highlight w:val="none"/>
              </w:rPr>
              <w:t>自然保护地面积占比</w:t>
            </w:r>
          </w:p>
        </w:tc>
        <w:tc>
          <w:tcPr>
            <w:tcW w:w="1189" w:type="dxa"/>
            <w:shd w:val="clear" w:color="auto" w:fill="auto"/>
            <w:vAlign w:val="center"/>
          </w:tcPr>
          <w:p w14:paraId="4CB917D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w:t>
            </w:r>
          </w:p>
        </w:tc>
        <w:tc>
          <w:tcPr>
            <w:tcW w:w="1302" w:type="dxa"/>
            <w:shd w:val="clear" w:color="auto" w:fill="auto"/>
            <w:vAlign w:val="center"/>
          </w:tcPr>
          <w:p w14:paraId="4F522FB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kern w:val="2"/>
                <w:sz w:val="21"/>
                <w:szCs w:val="21"/>
                <w:highlight w:val="none"/>
                <w:lang w:val="en-US" w:eastAsia="zh-CN" w:bidi="ar-SA"/>
              </w:rPr>
              <w:t>23.80</w:t>
            </w:r>
          </w:p>
        </w:tc>
        <w:tc>
          <w:tcPr>
            <w:tcW w:w="1098" w:type="dxa"/>
            <w:shd w:val="clear" w:color="auto" w:fill="auto"/>
            <w:vAlign w:val="center"/>
          </w:tcPr>
          <w:p w14:paraId="7924FE3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29.00</w:t>
            </w:r>
          </w:p>
        </w:tc>
        <w:tc>
          <w:tcPr>
            <w:tcW w:w="976" w:type="dxa"/>
            <w:shd w:val="clear" w:color="auto" w:fill="auto"/>
            <w:vAlign w:val="center"/>
          </w:tcPr>
          <w:p w14:paraId="76523AF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预期性</w:t>
            </w:r>
          </w:p>
        </w:tc>
      </w:tr>
      <w:tr w14:paraId="19E5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68" w:type="dxa"/>
            <w:shd w:val="clear" w:color="auto" w:fill="auto"/>
            <w:vAlign w:val="center"/>
          </w:tcPr>
          <w:p w14:paraId="0489E3A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sz w:val="21"/>
                <w:szCs w:val="21"/>
                <w:highlight w:val="none"/>
                <w:lang w:val="en-US" w:eastAsia="zh-CN"/>
              </w:rPr>
              <w:t>5</w:t>
            </w:r>
          </w:p>
        </w:tc>
        <w:tc>
          <w:tcPr>
            <w:tcW w:w="3022" w:type="dxa"/>
            <w:shd w:val="clear" w:color="auto" w:fill="auto"/>
            <w:vAlign w:val="center"/>
          </w:tcPr>
          <w:p w14:paraId="1D6A63C0">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color w:val="auto"/>
                <w:spacing w:val="-6"/>
                <w:sz w:val="21"/>
                <w:szCs w:val="21"/>
                <w:highlight w:val="none"/>
                <w:lang w:val="en-US" w:eastAsia="zh-CN"/>
              </w:rPr>
              <w:t>森林</w:t>
            </w:r>
            <w:r>
              <w:rPr>
                <w:rFonts w:hint="default" w:ascii="Times New Roman" w:hAnsi="Times New Roman" w:cs="Times New Roman" w:eastAsiaTheme="minorEastAsia"/>
                <w:color w:val="auto"/>
                <w:spacing w:val="-6"/>
                <w:sz w:val="21"/>
                <w:szCs w:val="21"/>
                <w:highlight w:val="none"/>
              </w:rPr>
              <w:t>年碳汇量</w:t>
            </w:r>
          </w:p>
        </w:tc>
        <w:tc>
          <w:tcPr>
            <w:tcW w:w="1189" w:type="dxa"/>
            <w:shd w:val="clear" w:color="auto" w:fill="auto"/>
            <w:vAlign w:val="center"/>
          </w:tcPr>
          <w:p w14:paraId="58BCA2EB">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lang w:val="en-US" w:eastAsia="zh-CN"/>
              </w:rPr>
            </w:pPr>
            <w:r>
              <w:rPr>
                <w:rFonts w:hint="default" w:ascii="Times New Roman" w:hAnsi="Times New Roman" w:cs="Times New Roman" w:eastAsiaTheme="minorEastAsia"/>
                <w:color w:val="auto"/>
                <w:spacing w:val="-6"/>
                <w:sz w:val="21"/>
                <w:szCs w:val="21"/>
                <w:highlight w:val="none"/>
              </w:rPr>
              <w:t>亿</w:t>
            </w:r>
            <w:r>
              <w:rPr>
                <w:rFonts w:hint="default" w:ascii="Times New Roman" w:hAnsi="Times New Roman" w:cs="Times New Roman" w:eastAsiaTheme="minorEastAsia"/>
                <w:b w:val="0"/>
                <w:bCs w:val="0"/>
                <w:color w:val="auto"/>
                <w:spacing w:val="-6"/>
                <w:sz w:val="21"/>
                <w:szCs w:val="21"/>
                <w:highlight w:val="none"/>
                <w:lang w:val="en-US" w:eastAsia="zh-CN"/>
              </w:rPr>
              <w:t xml:space="preserve"> </w:t>
            </w:r>
            <w:r>
              <w:rPr>
                <w:rFonts w:hint="default" w:ascii="Times New Roman" w:hAnsi="Times New Roman" w:cs="Times New Roman" w:eastAsiaTheme="minorEastAsia"/>
                <w:color w:val="auto"/>
                <w:spacing w:val="-6"/>
                <w:sz w:val="21"/>
                <w:szCs w:val="21"/>
                <w:highlight w:val="none"/>
                <w:lang w:val="en-US" w:eastAsia="zh-CN"/>
              </w:rPr>
              <w:t xml:space="preserve">t </w:t>
            </w:r>
            <w:r>
              <w:rPr>
                <w:rFonts w:hint="default" w:ascii="Times New Roman" w:hAnsi="Times New Roman" w:cs="Times New Roman" w:eastAsiaTheme="minorEastAsia"/>
                <w:color w:val="auto"/>
                <w:spacing w:val="-6"/>
                <w:sz w:val="21"/>
                <w:szCs w:val="21"/>
                <w:highlight w:val="none"/>
              </w:rPr>
              <w:t>CO</w:t>
            </w:r>
            <w:r>
              <w:rPr>
                <w:rFonts w:hint="default" w:ascii="Times New Roman" w:hAnsi="Times New Roman" w:cs="Times New Roman" w:eastAsiaTheme="minorEastAsia"/>
                <w:color w:val="auto"/>
                <w:spacing w:val="-6"/>
                <w:sz w:val="21"/>
                <w:szCs w:val="21"/>
                <w:highlight w:val="none"/>
                <w:vertAlign w:val="subscript"/>
              </w:rPr>
              <w:t>2</w:t>
            </w:r>
            <w:r>
              <w:rPr>
                <w:rFonts w:hint="default" w:ascii="Times New Roman" w:hAnsi="Times New Roman" w:cs="Times New Roman" w:eastAsiaTheme="minorEastAsia"/>
                <w:color w:val="auto"/>
                <w:spacing w:val="-6"/>
                <w:sz w:val="21"/>
                <w:szCs w:val="21"/>
                <w:highlight w:val="none"/>
                <w:vertAlign w:val="baseline"/>
                <w:lang w:val="en-US" w:eastAsia="zh-CN"/>
              </w:rPr>
              <w:t xml:space="preserve"> -e</w:t>
            </w:r>
          </w:p>
        </w:tc>
        <w:tc>
          <w:tcPr>
            <w:tcW w:w="1302" w:type="dxa"/>
            <w:shd w:val="clear" w:color="auto" w:fill="auto"/>
            <w:vAlign w:val="center"/>
          </w:tcPr>
          <w:p w14:paraId="1F910BDE">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kern w:val="2"/>
                <w:sz w:val="21"/>
                <w:szCs w:val="21"/>
                <w:highlight w:val="none"/>
                <w:lang w:val="en-US" w:eastAsia="zh-CN" w:bidi="ar-SA"/>
              </w:rPr>
              <w:t>—</w:t>
            </w:r>
          </w:p>
        </w:tc>
        <w:tc>
          <w:tcPr>
            <w:tcW w:w="1098" w:type="dxa"/>
            <w:shd w:val="clear" w:color="auto" w:fill="auto"/>
            <w:vAlign w:val="center"/>
          </w:tcPr>
          <w:p w14:paraId="74D6DFE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2689.3</w:t>
            </w:r>
          </w:p>
        </w:tc>
        <w:tc>
          <w:tcPr>
            <w:tcW w:w="976" w:type="dxa"/>
            <w:shd w:val="clear" w:color="auto" w:fill="auto"/>
            <w:vAlign w:val="center"/>
          </w:tcPr>
          <w:p w14:paraId="4A908A6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预期性</w:t>
            </w:r>
          </w:p>
        </w:tc>
      </w:tr>
      <w:tr w14:paraId="6D29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68" w:type="dxa"/>
            <w:shd w:val="clear" w:color="auto" w:fill="auto"/>
            <w:vAlign w:val="center"/>
          </w:tcPr>
          <w:p w14:paraId="0D6347A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sz w:val="21"/>
                <w:szCs w:val="21"/>
                <w:highlight w:val="none"/>
                <w:lang w:val="en-US" w:eastAsia="zh-CN"/>
              </w:rPr>
              <w:t>6</w:t>
            </w:r>
          </w:p>
        </w:tc>
        <w:tc>
          <w:tcPr>
            <w:tcW w:w="3022" w:type="dxa"/>
            <w:shd w:val="clear" w:color="auto" w:fill="auto"/>
            <w:vAlign w:val="center"/>
          </w:tcPr>
          <w:p w14:paraId="19D09482">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林业产业总产值</w:t>
            </w:r>
          </w:p>
        </w:tc>
        <w:tc>
          <w:tcPr>
            <w:tcW w:w="1189" w:type="dxa"/>
            <w:shd w:val="clear" w:color="auto" w:fill="auto"/>
            <w:vAlign w:val="center"/>
          </w:tcPr>
          <w:p w14:paraId="5426232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万亿元</w:t>
            </w:r>
          </w:p>
        </w:tc>
        <w:tc>
          <w:tcPr>
            <w:tcW w:w="1302" w:type="dxa"/>
            <w:shd w:val="clear" w:color="auto" w:fill="auto"/>
            <w:vAlign w:val="center"/>
          </w:tcPr>
          <w:p w14:paraId="1D21685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sz w:val="21"/>
                <w:szCs w:val="21"/>
                <w:highlight w:val="none"/>
                <w:lang w:val="en-US" w:eastAsia="zh-CN"/>
              </w:rPr>
              <w:t>1.01</w:t>
            </w:r>
          </w:p>
        </w:tc>
        <w:tc>
          <w:tcPr>
            <w:tcW w:w="1098" w:type="dxa"/>
            <w:shd w:val="clear" w:color="auto" w:fill="auto"/>
            <w:vAlign w:val="center"/>
          </w:tcPr>
          <w:p w14:paraId="5D18218F">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1.3</w:t>
            </w:r>
          </w:p>
        </w:tc>
        <w:tc>
          <w:tcPr>
            <w:tcW w:w="976" w:type="dxa"/>
            <w:shd w:val="clear" w:color="auto" w:fill="auto"/>
            <w:vAlign w:val="center"/>
          </w:tcPr>
          <w:p w14:paraId="45CB656F">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预期性</w:t>
            </w:r>
          </w:p>
        </w:tc>
      </w:tr>
      <w:tr w14:paraId="2B40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68" w:type="dxa"/>
            <w:shd w:val="clear" w:color="auto" w:fill="auto"/>
            <w:vAlign w:val="center"/>
          </w:tcPr>
          <w:p w14:paraId="2A3EB6DA">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sz w:val="21"/>
                <w:szCs w:val="21"/>
                <w:highlight w:val="none"/>
                <w:lang w:val="en-US" w:eastAsia="zh-CN"/>
              </w:rPr>
              <w:t>7</w:t>
            </w:r>
          </w:p>
        </w:tc>
        <w:tc>
          <w:tcPr>
            <w:tcW w:w="3022" w:type="dxa"/>
            <w:shd w:val="clear" w:color="auto" w:fill="auto"/>
            <w:vAlign w:val="center"/>
          </w:tcPr>
          <w:p w14:paraId="3CE6CA9F">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森林火灾受害率</w:t>
            </w:r>
          </w:p>
        </w:tc>
        <w:tc>
          <w:tcPr>
            <w:tcW w:w="1189" w:type="dxa"/>
            <w:shd w:val="clear" w:color="auto" w:fill="auto"/>
            <w:vAlign w:val="center"/>
          </w:tcPr>
          <w:p w14:paraId="3D2BD4F9">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w:t>
            </w:r>
          </w:p>
        </w:tc>
        <w:tc>
          <w:tcPr>
            <w:tcW w:w="1302" w:type="dxa"/>
            <w:shd w:val="clear" w:color="auto" w:fill="auto"/>
            <w:vAlign w:val="center"/>
          </w:tcPr>
          <w:p w14:paraId="1430E02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kern w:val="2"/>
                <w:sz w:val="21"/>
                <w:szCs w:val="21"/>
                <w:highlight w:val="none"/>
                <w:lang w:val="en-US" w:eastAsia="zh-CN" w:bidi="ar-SA"/>
              </w:rPr>
            </w:pPr>
            <w:r>
              <w:rPr>
                <w:rFonts w:hint="default" w:ascii="Times New Roman" w:hAnsi="Times New Roman" w:cs="Times New Roman"/>
                <w:color w:val="auto"/>
                <w:spacing w:val="-6"/>
                <w:sz w:val="21"/>
                <w:szCs w:val="21"/>
                <w:highlight w:val="none"/>
                <w:lang w:val="en-US" w:eastAsia="zh-CN"/>
              </w:rPr>
              <w:t>≤0.01</w:t>
            </w:r>
          </w:p>
        </w:tc>
        <w:tc>
          <w:tcPr>
            <w:tcW w:w="1098" w:type="dxa"/>
            <w:shd w:val="clear" w:color="auto" w:fill="auto"/>
            <w:vAlign w:val="center"/>
          </w:tcPr>
          <w:p w14:paraId="4A99491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lang w:val="en-US" w:eastAsia="zh-CN"/>
              </w:rPr>
            </w:pPr>
            <w:r>
              <w:rPr>
                <w:rFonts w:hint="default" w:ascii="Times New Roman" w:hAnsi="Times New Roman" w:cs="Times New Roman"/>
                <w:color w:val="auto"/>
                <w:spacing w:val="-6"/>
                <w:sz w:val="21"/>
                <w:szCs w:val="21"/>
                <w:highlight w:val="none"/>
                <w:lang w:val="en-US" w:eastAsia="zh-CN"/>
              </w:rPr>
              <w:t>≤0.7</w:t>
            </w:r>
          </w:p>
        </w:tc>
        <w:tc>
          <w:tcPr>
            <w:tcW w:w="976" w:type="dxa"/>
            <w:shd w:val="clear" w:color="auto" w:fill="auto"/>
            <w:vAlign w:val="center"/>
          </w:tcPr>
          <w:p w14:paraId="1153FF5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预期性</w:t>
            </w:r>
          </w:p>
        </w:tc>
      </w:tr>
      <w:tr w14:paraId="5A5D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68" w:type="dxa"/>
            <w:shd w:val="clear" w:color="auto" w:fill="auto"/>
            <w:vAlign w:val="center"/>
          </w:tcPr>
          <w:p w14:paraId="1DD3295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auto"/>
                <w:spacing w:val="-6"/>
                <w:sz w:val="21"/>
                <w:szCs w:val="21"/>
                <w:highlight w:val="none"/>
                <w:lang w:val="en-US" w:eastAsia="zh-CN"/>
              </w:rPr>
            </w:pPr>
            <w:r>
              <w:rPr>
                <w:rFonts w:hint="eastAsia" w:ascii="Times New Roman" w:hAnsi="Times New Roman" w:cs="Times New Roman"/>
                <w:color w:val="auto"/>
                <w:spacing w:val="-6"/>
                <w:sz w:val="21"/>
                <w:szCs w:val="21"/>
                <w:highlight w:val="none"/>
                <w:lang w:val="en-US" w:eastAsia="zh-CN"/>
              </w:rPr>
              <w:t>8</w:t>
            </w:r>
          </w:p>
        </w:tc>
        <w:tc>
          <w:tcPr>
            <w:tcW w:w="3022" w:type="dxa"/>
            <w:shd w:val="clear" w:color="auto" w:fill="auto"/>
            <w:vAlign w:val="center"/>
          </w:tcPr>
          <w:p w14:paraId="2905B79E">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Times New Roman" w:hAnsi="Times New Roman" w:cs="Times New Roman" w:eastAsiaTheme="minorEastAsia"/>
                <w:color w:val="auto"/>
                <w:spacing w:val="-6"/>
                <w:sz w:val="21"/>
                <w:szCs w:val="21"/>
                <w:highlight w:val="none"/>
                <w:lang w:val="en-US" w:eastAsia="zh-CN"/>
              </w:rPr>
            </w:pPr>
            <w:r>
              <w:rPr>
                <w:rFonts w:hint="eastAsia" w:ascii="Times New Roman" w:hAnsi="Times New Roman" w:cs="Times New Roman"/>
                <w:color w:val="auto"/>
                <w:spacing w:val="-6"/>
                <w:sz w:val="21"/>
                <w:szCs w:val="21"/>
                <w:highlight w:val="none"/>
                <w:lang w:val="en-US" w:eastAsia="zh-CN"/>
              </w:rPr>
              <w:t>林业有害生物成灾率</w:t>
            </w:r>
          </w:p>
        </w:tc>
        <w:tc>
          <w:tcPr>
            <w:tcW w:w="1189" w:type="dxa"/>
            <w:shd w:val="clear" w:color="auto" w:fill="auto"/>
            <w:vAlign w:val="center"/>
          </w:tcPr>
          <w:p w14:paraId="4225936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w:t>
            </w:r>
          </w:p>
        </w:tc>
        <w:tc>
          <w:tcPr>
            <w:tcW w:w="1302" w:type="dxa"/>
            <w:shd w:val="clear" w:color="auto" w:fill="auto"/>
            <w:vAlign w:val="center"/>
          </w:tcPr>
          <w:p w14:paraId="2BC4066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auto"/>
                <w:spacing w:val="-6"/>
                <w:sz w:val="21"/>
                <w:szCs w:val="21"/>
                <w:highlight w:val="none"/>
                <w:lang w:val="en-US" w:eastAsia="zh-CN"/>
              </w:rPr>
            </w:pPr>
            <w:r>
              <w:rPr>
                <w:rFonts w:hint="eastAsia" w:ascii="Times New Roman" w:hAnsi="Times New Roman" w:cs="Times New Roman"/>
                <w:color w:val="auto"/>
                <w:spacing w:val="-6"/>
                <w:sz w:val="21"/>
                <w:szCs w:val="21"/>
                <w:highlight w:val="none"/>
                <w:lang w:val="en-US" w:eastAsia="zh-CN"/>
              </w:rPr>
              <w:t>19.69</w:t>
            </w:r>
          </w:p>
        </w:tc>
        <w:tc>
          <w:tcPr>
            <w:tcW w:w="1098" w:type="dxa"/>
            <w:shd w:val="clear" w:color="auto" w:fill="auto"/>
            <w:vAlign w:val="center"/>
          </w:tcPr>
          <w:p w14:paraId="5B71EF96">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color w:val="auto"/>
                <w:spacing w:val="-6"/>
                <w:sz w:val="21"/>
                <w:szCs w:val="21"/>
                <w:highlight w:val="none"/>
                <w:lang w:val="en-US" w:eastAsia="zh-CN"/>
              </w:rPr>
            </w:pPr>
            <w:r>
              <w:rPr>
                <w:rFonts w:hint="eastAsia" w:ascii="Times New Roman" w:hAnsi="Times New Roman" w:cs="Times New Roman"/>
                <w:color w:val="auto"/>
                <w:spacing w:val="-6"/>
                <w:sz w:val="21"/>
                <w:szCs w:val="21"/>
                <w:highlight w:val="none"/>
                <w:lang w:val="en-US" w:eastAsia="zh-CN"/>
              </w:rPr>
              <w:t>16.06</w:t>
            </w:r>
          </w:p>
        </w:tc>
        <w:tc>
          <w:tcPr>
            <w:tcW w:w="976" w:type="dxa"/>
            <w:shd w:val="clear" w:color="auto" w:fill="auto"/>
            <w:vAlign w:val="center"/>
          </w:tcPr>
          <w:p w14:paraId="741AA7A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ascii="Times New Roman" w:hAnsi="Times New Roman" w:cs="Times New Roman" w:eastAsiaTheme="minorEastAsia"/>
                <w:color w:val="auto"/>
                <w:spacing w:val="-6"/>
                <w:sz w:val="21"/>
                <w:szCs w:val="21"/>
                <w:highlight w:val="none"/>
              </w:rPr>
            </w:pPr>
            <w:r>
              <w:rPr>
                <w:rFonts w:hint="default" w:ascii="Times New Roman" w:hAnsi="Times New Roman" w:cs="Times New Roman" w:eastAsiaTheme="minorEastAsia"/>
                <w:color w:val="auto"/>
                <w:spacing w:val="-6"/>
                <w:sz w:val="21"/>
                <w:szCs w:val="21"/>
                <w:highlight w:val="none"/>
              </w:rPr>
              <w:t>预期性</w:t>
            </w:r>
          </w:p>
        </w:tc>
      </w:tr>
    </w:tbl>
    <w:p w14:paraId="26F237A1">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color w:val="auto"/>
          <w:sz w:val="21"/>
          <w:szCs w:val="24"/>
          <w:highlight w:val="none"/>
          <w:lang w:val="en-US" w:eastAsia="zh-CN"/>
        </w:rPr>
        <w:sectPr>
          <w:footerReference r:id="rId5" w:type="default"/>
          <w:pgSz w:w="11906" w:h="16838"/>
          <w:pgMar w:top="1440" w:right="1800" w:bottom="1440" w:left="1800" w:header="851" w:footer="992" w:gutter="0"/>
          <w:pgNumType w:start="1"/>
          <w:cols w:space="425" w:num="1"/>
          <w:docGrid w:type="lines" w:linePitch="312" w:charSpace="0"/>
        </w:sectPr>
      </w:pPr>
      <w:r>
        <w:rPr>
          <w:rFonts w:hint="default" w:ascii="Times New Roman" w:hAnsi="Times New Roman" w:eastAsia="仿宋" w:cs="Times New Roman"/>
          <w:color w:val="auto"/>
          <w:sz w:val="21"/>
          <w:szCs w:val="24"/>
          <w:highlight w:val="none"/>
          <w:lang w:val="en-US" w:eastAsia="zh-CN"/>
        </w:rPr>
        <w:t>注：《林业草原保护利用“十五五”规划（征求意见稿）》包括：林草覆盖率、森林覆盖率、森林蓄积量、草原综合植被盖度、国家公园等自然保护地面积占比、森林/草原火灾受害率、森林年碳汇量、林草产业总产值等8个主要指标。</w:t>
      </w:r>
    </w:p>
    <w:bookmarkEnd w:id="1"/>
    <w:p w14:paraId="699EDF0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0"/>
        <w:rPr>
          <w:rFonts w:hint="default" w:ascii="Times New Roman" w:hAnsi="Times New Roman" w:eastAsia="黑体" w:cs="Times New Roman"/>
          <w:b/>
          <w:bCs/>
          <w:color w:val="auto"/>
          <w:sz w:val="32"/>
          <w:szCs w:val="40"/>
          <w:highlight w:val="none"/>
          <w:lang w:val="en-US" w:eastAsia="zh-CN"/>
        </w:rPr>
      </w:pPr>
      <w:bookmarkStart w:id="6" w:name="_Toc7693"/>
      <w:bookmarkStart w:id="7" w:name="_Toc26310"/>
      <w:bookmarkStart w:id="8" w:name="_Toc3681"/>
      <w:r>
        <w:rPr>
          <w:rFonts w:hint="default" w:ascii="Times New Roman" w:hAnsi="Times New Roman" w:eastAsia="黑体" w:cs="Times New Roman"/>
          <w:b/>
          <w:bCs/>
          <w:color w:val="auto"/>
          <w:sz w:val="32"/>
          <w:szCs w:val="40"/>
          <w:highlight w:val="none"/>
          <w:lang w:val="en-US" w:eastAsia="zh-CN"/>
        </w:rPr>
        <w:t>第二章</w:t>
      </w:r>
      <w:bookmarkEnd w:id="6"/>
      <w:bookmarkEnd w:id="7"/>
      <w:bookmarkStart w:id="9" w:name="_Toc9241"/>
      <w:r>
        <w:rPr>
          <w:rFonts w:hint="default" w:ascii="Times New Roman" w:hAnsi="Times New Roman" w:eastAsia="黑体" w:cs="Times New Roman"/>
          <w:b/>
          <w:bCs/>
          <w:color w:val="auto"/>
          <w:sz w:val="32"/>
          <w:szCs w:val="40"/>
          <w:highlight w:val="none"/>
          <w:lang w:val="en-US" w:eastAsia="zh-CN"/>
        </w:rPr>
        <w:t xml:space="preserve"> </w:t>
      </w:r>
      <w:bookmarkEnd w:id="9"/>
      <w:r>
        <w:rPr>
          <w:rFonts w:hint="default" w:ascii="Times New Roman" w:hAnsi="Times New Roman" w:eastAsia="黑体" w:cs="Times New Roman"/>
          <w:b/>
          <w:bCs/>
          <w:color w:val="auto"/>
          <w:sz w:val="32"/>
          <w:szCs w:val="40"/>
          <w:highlight w:val="none"/>
          <w:lang w:val="en-US" w:eastAsia="zh-CN"/>
        </w:rPr>
        <w:t>建立国土绿化空间治理体系，构建从山顶到海洋的全域生态修复与保护格局</w:t>
      </w:r>
      <w:bookmarkEnd w:id="8"/>
    </w:p>
    <w:p w14:paraId="335DB48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color w:val="auto"/>
          <w:sz w:val="32"/>
          <w:szCs w:val="40"/>
          <w:highlight w:val="none"/>
          <w:lang w:val="en-US" w:eastAsia="zh-CN"/>
        </w:rPr>
      </w:pPr>
      <w:bookmarkStart w:id="10" w:name="_Toc13880"/>
      <w:bookmarkStart w:id="11" w:name="_Toc15721"/>
      <w:r>
        <w:rPr>
          <w:rFonts w:hint="default" w:ascii="Times New Roman" w:hAnsi="Times New Roman" w:eastAsia="黑体" w:cs="Times New Roman"/>
          <w:color w:val="auto"/>
          <w:kern w:val="2"/>
          <w:sz w:val="32"/>
          <w:szCs w:val="40"/>
          <w:lang w:val="en-US" w:eastAsia="zh-CN" w:bidi="ar-SA"/>
        </w:rPr>
        <w:t>第一节 科学布局国土绿化空间</w:t>
      </w:r>
      <w:bookmarkEnd w:id="10"/>
    </w:p>
    <w:p w14:paraId="6D95101D">
      <w:pPr>
        <w:keepNext w:val="0"/>
        <w:keepLines w:val="0"/>
        <w:pageBreakBefore w:val="0"/>
        <w:widowControl w:val="0"/>
        <w:kinsoku/>
        <w:wordWrap/>
        <w:overflowPunct/>
        <w:topLinePunct w:val="0"/>
        <w:autoSpaceDE/>
        <w:autoSpaceDN/>
        <w:bidi w:val="0"/>
        <w:adjustRightInd w:val="0"/>
        <w:snapToGrid w:val="0"/>
        <w:spacing w:after="157" w:afterLines="50" w:line="560" w:lineRule="exact"/>
        <w:ind w:firstLine="640" w:firstLineChars="200"/>
        <w:textAlignment w:val="auto"/>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highlight w:val="none"/>
        </w:rPr>
        <w:t>立足全省生态安全战略与粤港澳大湾区发展需求，衔接国家</w:t>
      </w:r>
      <w:r>
        <w:rPr>
          <w:rFonts w:hint="default" w:ascii="Times New Roman" w:hAnsi="Times New Roman" w:eastAsia="仿宋" w:cs="Times New Roman"/>
          <w:color w:val="auto"/>
          <w:sz w:val="32"/>
          <w:highlight w:val="none"/>
          <w:lang w:eastAsia="zh-CN"/>
        </w:rPr>
        <w:t>“</w:t>
      </w:r>
      <w:r>
        <w:rPr>
          <w:rFonts w:hint="default" w:ascii="Times New Roman" w:hAnsi="Times New Roman" w:eastAsia="仿宋" w:cs="Times New Roman"/>
          <w:color w:val="auto"/>
          <w:sz w:val="32"/>
          <w:highlight w:val="none"/>
        </w:rPr>
        <w:t>双重</w:t>
      </w:r>
      <w:r>
        <w:rPr>
          <w:rFonts w:hint="default" w:ascii="Times New Roman" w:hAnsi="Times New Roman" w:eastAsia="仿宋" w:cs="Times New Roman"/>
          <w:color w:val="auto"/>
          <w:sz w:val="32"/>
          <w:highlight w:val="none"/>
          <w:lang w:eastAsia="zh-CN"/>
        </w:rPr>
        <w:t>”</w:t>
      </w:r>
      <w:r>
        <w:rPr>
          <w:rFonts w:hint="default" w:ascii="Times New Roman" w:hAnsi="Times New Roman" w:eastAsia="仿宋" w:cs="Times New Roman"/>
          <w:color w:val="auto"/>
          <w:sz w:val="32"/>
          <w:highlight w:val="none"/>
        </w:rPr>
        <w:t>工程和国土绿化示范工程，构建</w:t>
      </w:r>
      <w:r>
        <w:rPr>
          <w:rFonts w:hint="default" w:ascii="Times New Roman" w:hAnsi="Times New Roman" w:eastAsia="仿宋" w:cs="Times New Roman"/>
          <w:b/>
          <w:bCs/>
          <w:color w:val="auto"/>
          <w:sz w:val="32"/>
          <w:highlight w:val="none"/>
          <w:lang w:eastAsia="zh-CN"/>
        </w:rPr>
        <w:t>“</w:t>
      </w:r>
      <w:r>
        <w:rPr>
          <w:rFonts w:hint="default" w:ascii="Times New Roman" w:hAnsi="Times New Roman" w:eastAsia="仿宋" w:cs="Times New Roman"/>
          <w:b/>
          <w:bCs/>
          <w:color w:val="auto"/>
          <w:sz w:val="32"/>
          <w:highlight w:val="none"/>
        </w:rPr>
        <w:t>一区、三屏、五域</w:t>
      </w:r>
      <w:r>
        <w:rPr>
          <w:rFonts w:hint="default" w:ascii="Times New Roman" w:hAnsi="Times New Roman" w:eastAsia="仿宋" w:cs="Times New Roman"/>
          <w:b/>
          <w:bCs/>
          <w:color w:val="auto"/>
          <w:sz w:val="32"/>
          <w:highlight w:val="none"/>
          <w:lang w:eastAsia="zh-CN"/>
        </w:rPr>
        <w:t>”</w:t>
      </w:r>
      <w:r>
        <w:rPr>
          <w:rFonts w:hint="default" w:ascii="Times New Roman" w:hAnsi="Times New Roman" w:eastAsia="仿宋" w:cs="Times New Roman"/>
          <w:color w:val="auto"/>
          <w:sz w:val="32"/>
          <w:highlight w:val="none"/>
        </w:rPr>
        <w:t>的</w:t>
      </w:r>
      <w:r>
        <w:rPr>
          <w:rFonts w:hint="default" w:ascii="Times New Roman" w:hAnsi="Times New Roman" w:eastAsia="仿宋" w:cs="Times New Roman"/>
          <w:color w:val="auto"/>
          <w:sz w:val="32"/>
          <w:highlight w:val="none"/>
          <w:lang w:val="en-US" w:eastAsia="zh-CN"/>
        </w:rPr>
        <w:t>国土绿化空间治理布</w:t>
      </w:r>
      <w:r>
        <w:rPr>
          <w:rFonts w:hint="default" w:ascii="Times New Roman" w:hAnsi="Times New Roman" w:eastAsia="仿宋" w:cs="Times New Roman"/>
          <w:color w:val="auto"/>
          <w:sz w:val="32"/>
          <w:highlight w:val="none"/>
        </w:rPr>
        <w:t>局。</w:t>
      </w:r>
    </w:p>
    <w:p w14:paraId="7CEFD04F">
      <w:pPr>
        <w:jc w:val="center"/>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drawing>
          <wp:inline distT="0" distB="0" distL="114300" distR="114300">
            <wp:extent cx="5273040" cy="3728720"/>
            <wp:effectExtent l="0" t="0" r="3810" b="5080"/>
            <wp:docPr id="3" name="图片 3" descr="18b00804399ee707e6b121df0658d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8b00804399ee707e6b121df0658d242"/>
                    <pic:cNvPicPr>
                      <a:picLocks noChangeAspect="1"/>
                    </pic:cNvPicPr>
                  </pic:nvPicPr>
                  <pic:blipFill>
                    <a:blip r:embed="rId8"/>
                    <a:stretch>
                      <a:fillRect/>
                    </a:stretch>
                  </pic:blipFill>
                  <pic:spPr>
                    <a:xfrm>
                      <a:off x="0" y="0"/>
                      <a:ext cx="5273040" cy="3728720"/>
                    </a:xfrm>
                    <a:prstGeom prst="rect">
                      <a:avLst/>
                    </a:prstGeom>
                  </pic:spPr>
                </pic:pic>
              </a:graphicData>
            </a:graphic>
          </wp:inline>
        </w:drawing>
      </w:r>
    </w:p>
    <w:p w14:paraId="1BD1D5E3">
      <w:pPr>
        <w:jc w:val="center"/>
        <w:rPr>
          <w:rFonts w:hint="default" w:ascii="Times New Roman" w:hAnsi="Times New Roman" w:cs="Times New Roman"/>
          <w:color w:val="auto"/>
        </w:rPr>
      </w:pPr>
      <w:r>
        <w:rPr>
          <w:rFonts w:hint="default" w:ascii="Times New Roman" w:hAnsi="Times New Roman" w:eastAsia="仿宋" w:cs="Times New Roman"/>
          <w:b/>
          <w:bCs/>
          <w:color w:val="auto"/>
          <w:sz w:val="28"/>
          <w:szCs w:val="28"/>
          <w:highlight w:val="none"/>
        </w:rPr>
        <w:t>图</w:t>
      </w:r>
      <w:r>
        <w:rPr>
          <w:rFonts w:hint="default" w:ascii="Times New Roman" w:hAnsi="Times New Roman" w:eastAsia="仿宋" w:cs="Times New Roman"/>
          <w:b/>
          <w:bCs/>
          <w:color w:val="auto"/>
          <w:sz w:val="28"/>
          <w:szCs w:val="28"/>
          <w:highlight w:val="none"/>
          <w:lang w:val="en-US" w:eastAsia="zh-CN"/>
        </w:rPr>
        <w:t>3</w:t>
      </w:r>
      <w:r>
        <w:rPr>
          <w:rFonts w:hint="default" w:ascii="Times New Roman" w:hAnsi="Times New Roman" w:eastAsia="仿宋" w:cs="Times New Roman"/>
          <w:b/>
          <w:bCs/>
          <w:color w:val="auto"/>
          <w:sz w:val="28"/>
          <w:szCs w:val="28"/>
          <w:highlight w:val="none"/>
        </w:rPr>
        <w:t>-1</w:t>
      </w:r>
      <w:r>
        <w:rPr>
          <w:rFonts w:hint="default" w:ascii="Times New Roman" w:hAnsi="Times New Roman" w:eastAsia="仿宋" w:cs="Times New Roman"/>
          <w:b/>
          <w:bCs/>
          <w:color w:val="auto"/>
          <w:sz w:val="28"/>
          <w:szCs w:val="28"/>
          <w:highlight w:val="none"/>
          <w:lang w:val="en-US" w:eastAsia="zh-CN"/>
        </w:rPr>
        <w:t xml:space="preserve"> 国土绿化空间治理布局图</w:t>
      </w:r>
    </w:p>
    <w:p w14:paraId="1F2C5183">
      <w:pPr>
        <w:pStyle w:val="15"/>
        <w:spacing w:before="156" w:beforeLines="50" w:after="156" w:afterLines="50" w:line="560" w:lineRule="exact"/>
        <w:ind w:firstLine="643" w:firstLineChars="200"/>
        <w:outlineLvl w:val="2"/>
        <w:rPr>
          <w:rFonts w:hint="default" w:ascii="Times New Roman" w:hAnsi="Times New Roman" w:eastAsia="仿宋" w:cs="Times New Roman"/>
          <w:b/>
          <w:bCs/>
          <w:color w:val="auto"/>
          <w:sz w:val="32"/>
          <w:szCs w:val="40"/>
          <w:highlight w:val="none"/>
        </w:rPr>
      </w:pPr>
      <w:r>
        <w:rPr>
          <w:rFonts w:hint="default" w:ascii="Times New Roman" w:hAnsi="Times New Roman" w:eastAsia="仿宋" w:cs="Times New Roman"/>
          <w:b/>
          <w:bCs/>
          <w:color w:val="auto"/>
          <w:sz w:val="32"/>
          <w:szCs w:val="40"/>
          <w:highlight w:val="none"/>
        </w:rPr>
        <w:t>一、</w:t>
      </w:r>
      <w:r>
        <w:rPr>
          <w:rFonts w:hint="default" w:ascii="Times New Roman" w:hAnsi="Times New Roman" w:eastAsia="仿宋" w:cs="Times New Roman"/>
          <w:b/>
          <w:bCs/>
          <w:color w:val="auto"/>
          <w:sz w:val="32"/>
          <w:szCs w:val="40"/>
          <w:highlight w:val="none"/>
          <w:lang w:eastAsia="zh-CN"/>
        </w:rPr>
        <w:t>“</w:t>
      </w:r>
      <w:r>
        <w:rPr>
          <w:rFonts w:hint="default" w:ascii="Times New Roman" w:hAnsi="Times New Roman" w:eastAsia="仿宋" w:cs="Times New Roman"/>
          <w:b/>
          <w:bCs/>
          <w:color w:val="auto"/>
          <w:sz w:val="32"/>
          <w:szCs w:val="40"/>
          <w:highlight w:val="none"/>
        </w:rPr>
        <w:t>一区</w:t>
      </w:r>
      <w:r>
        <w:rPr>
          <w:rFonts w:hint="default" w:ascii="Times New Roman" w:hAnsi="Times New Roman" w:eastAsia="仿宋" w:cs="Times New Roman"/>
          <w:b/>
          <w:bCs/>
          <w:color w:val="auto"/>
          <w:sz w:val="32"/>
          <w:szCs w:val="40"/>
          <w:highlight w:val="none"/>
          <w:lang w:eastAsia="zh-CN"/>
        </w:rPr>
        <w:t>”</w:t>
      </w:r>
      <w:r>
        <w:rPr>
          <w:rFonts w:hint="default" w:ascii="Times New Roman" w:hAnsi="Times New Roman" w:eastAsia="仿宋" w:cs="Times New Roman"/>
          <w:b/>
          <w:bCs/>
          <w:color w:val="auto"/>
          <w:sz w:val="32"/>
          <w:szCs w:val="40"/>
          <w:highlight w:val="none"/>
        </w:rPr>
        <w:t>：高品质绿美湾区</w:t>
      </w:r>
    </w:p>
    <w:p w14:paraId="0D1DF934">
      <w:pPr>
        <w:spacing w:line="56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高水平建设国际红树林中心，高标准</w:t>
      </w:r>
      <w:r>
        <w:rPr>
          <w:rFonts w:hint="default" w:ascii="Times New Roman" w:hAnsi="Times New Roman" w:eastAsia="仿宋" w:cs="Times New Roman"/>
          <w:color w:val="auto"/>
          <w:sz w:val="32"/>
          <w:szCs w:val="32"/>
          <w:highlight w:val="none"/>
          <w:lang w:val="en-US" w:eastAsia="zh-CN"/>
        </w:rPr>
        <w:t>构建</w:t>
      </w:r>
      <w:r>
        <w:rPr>
          <w:rFonts w:hint="default" w:ascii="Times New Roman" w:hAnsi="Times New Roman" w:eastAsia="仿宋" w:cs="Times New Roman"/>
          <w:color w:val="auto"/>
          <w:sz w:val="32"/>
          <w:szCs w:val="32"/>
          <w:highlight w:val="none"/>
        </w:rPr>
        <w:t>以华南国家植物园为引领的植物迁地保护体系，高质量</w:t>
      </w:r>
      <w:r>
        <w:rPr>
          <w:rFonts w:hint="default" w:ascii="Times New Roman" w:hAnsi="Times New Roman" w:eastAsia="仿宋" w:cs="Times New Roman"/>
          <w:color w:val="auto"/>
          <w:sz w:val="32"/>
          <w:szCs w:val="32"/>
          <w:highlight w:val="none"/>
          <w:lang w:val="en-US" w:eastAsia="zh-CN"/>
        </w:rPr>
        <w:t>建设</w:t>
      </w:r>
      <w:r>
        <w:rPr>
          <w:rFonts w:hint="default" w:ascii="Times New Roman" w:hAnsi="Times New Roman" w:eastAsia="仿宋" w:cs="Times New Roman"/>
          <w:color w:val="auto"/>
          <w:sz w:val="32"/>
          <w:szCs w:val="32"/>
          <w:highlight w:val="none"/>
        </w:rPr>
        <w:t>穿山甲保护研究中心</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打造精品</w:t>
      </w:r>
      <w:r>
        <w:rPr>
          <w:rFonts w:hint="default" w:ascii="Times New Roman" w:hAnsi="Times New Roman" w:eastAsia="仿宋" w:cs="Times New Roman"/>
          <w:color w:val="auto"/>
          <w:sz w:val="32"/>
          <w:szCs w:val="32"/>
          <w:highlight w:val="none"/>
          <w:lang w:val="en-US" w:eastAsia="zh-CN"/>
        </w:rPr>
        <w:t>自然公园、</w:t>
      </w:r>
      <w:r>
        <w:rPr>
          <w:rFonts w:hint="default" w:ascii="Times New Roman" w:hAnsi="Times New Roman" w:eastAsia="仿宋" w:cs="Times New Roman"/>
          <w:color w:val="auto"/>
          <w:sz w:val="32"/>
          <w:szCs w:val="32"/>
          <w:highlight w:val="none"/>
        </w:rPr>
        <w:t>山地公园</w:t>
      </w:r>
      <w:r>
        <w:rPr>
          <w:rFonts w:hint="default" w:ascii="Times New Roman" w:hAnsi="Times New Roman" w:eastAsia="仿宋" w:cs="Times New Roman"/>
          <w:color w:val="auto"/>
          <w:sz w:val="32"/>
          <w:szCs w:val="32"/>
          <w:highlight w:val="none"/>
          <w:lang w:val="en-US" w:eastAsia="zh-CN"/>
        </w:rPr>
        <w:t>和</w:t>
      </w:r>
      <w:r>
        <w:rPr>
          <w:rFonts w:hint="default" w:ascii="Times New Roman" w:hAnsi="Times New Roman" w:eastAsia="仿宋" w:cs="Times New Roman"/>
          <w:color w:val="auto"/>
          <w:sz w:val="32"/>
          <w:szCs w:val="32"/>
          <w:highlight w:val="none"/>
        </w:rPr>
        <w:t>郊野公园</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建设宜居宜业宜游的优质生活圈。</w:t>
      </w:r>
      <w:r>
        <w:rPr>
          <w:rFonts w:hint="default" w:ascii="Times New Roman" w:hAnsi="Times New Roman" w:eastAsia="仿宋" w:cs="Times New Roman"/>
          <w:color w:val="auto"/>
          <w:sz w:val="32"/>
          <w:szCs w:val="32"/>
          <w:highlight w:val="none"/>
        </w:rPr>
        <w:t>加强高品质城市森林、湿地景观与生态绿廊营造</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打造与世界级湾区相匹配的生态高地</w:t>
      </w:r>
      <w:r>
        <w:rPr>
          <w:rFonts w:hint="default" w:ascii="Times New Roman" w:hAnsi="Times New Roman" w:eastAsia="仿宋" w:cs="Times New Roman"/>
          <w:color w:val="auto"/>
          <w:sz w:val="32"/>
          <w:szCs w:val="32"/>
          <w:highlight w:val="none"/>
        </w:rPr>
        <w:t>。</w:t>
      </w:r>
    </w:p>
    <w:p w14:paraId="4F957463">
      <w:pPr>
        <w:pStyle w:val="15"/>
        <w:spacing w:before="156" w:beforeLines="50" w:after="156" w:afterLines="50" w:line="560" w:lineRule="exact"/>
        <w:ind w:firstLine="643" w:firstLineChars="200"/>
        <w:outlineLvl w:val="2"/>
        <w:rPr>
          <w:rFonts w:hint="default" w:ascii="Times New Roman" w:hAnsi="Times New Roman" w:eastAsia="仿宋" w:cs="Times New Roman"/>
          <w:b/>
          <w:bCs/>
          <w:color w:val="auto"/>
          <w:sz w:val="32"/>
          <w:szCs w:val="40"/>
          <w:highlight w:val="none"/>
        </w:rPr>
      </w:pPr>
      <w:r>
        <w:rPr>
          <w:rFonts w:hint="default" w:ascii="Times New Roman" w:hAnsi="Times New Roman" w:eastAsia="仿宋" w:cs="Times New Roman"/>
          <w:b/>
          <w:bCs/>
          <w:color w:val="auto"/>
          <w:sz w:val="32"/>
          <w:szCs w:val="40"/>
          <w:highlight w:val="none"/>
        </w:rPr>
        <w:t>二、</w:t>
      </w:r>
      <w:r>
        <w:rPr>
          <w:rFonts w:hint="default" w:ascii="Times New Roman" w:hAnsi="Times New Roman" w:eastAsia="仿宋" w:cs="Times New Roman"/>
          <w:b/>
          <w:bCs/>
          <w:color w:val="auto"/>
          <w:sz w:val="32"/>
          <w:szCs w:val="40"/>
          <w:highlight w:val="none"/>
          <w:lang w:eastAsia="zh-CN"/>
        </w:rPr>
        <w:t>“</w:t>
      </w:r>
      <w:r>
        <w:rPr>
          <w:rFonts w:hint="default" w:ascii="Times New Roman" w:hAnsi="Times New Roman" w:eastAsia="仿宋" w:cs="Times New Roman"/>
          <w:b/>
          <w:bCs/>
          <w:color w:val="auto"/>
          <w:sz w:val="32"/>
          <w:szCs w:val="40"/>
          <w:highlight w:val="none"/>
        </w:rPr>
        <w:t>三屏</w:t>
      </w:r>
      <w:r>
        <w:rPr>
          <w:rFonts w:hint="default" w:ascii="Times New Roman" w:hAnsi="Times New Roman" w:eastAsia="仿宋" w:cs="Times New Roman"/>
          <w:b/>
          <w:bCs/>
          <w:color w:val="auto"/>
          <w:sz w:val="32"/>
          <w:szCs w:val="40"/>
          <w:highlight w:val="none"/>
          <w:lang w:eastAsia="zh-CN"/>
        </w:rPr>
        <w:t>”</w:t>
      </w:r>
      <w:r>
        <w:rPr>
          <w:rFonts w:hint="default" w:ascii="Times New Roman" w:hAnsi="Times New Roman" w:eastAsia="仿宋" w:cs="Times New Roman"/>
          <w:b/>
          <w:bCs/>
          <w:color w:val="auto"/>
          <w:sz w:val="32"/>
          <w:szCs w:val="40"/>
          <w:highlight w:val="none"/>
        </w:rPr>
        <w:t>：南岭生态屏障、</w:t>
      </w:r>
      <w:r>
        <w:rPr>
          <w:rFonts w:hint="default" w:ascii="Times New Roman" w:hAnsi="Times New Roman" w:eastAsia="仿宋" w:cs="Times New Roman"/>
          <w:b/>
          <w:bCs/>
          <w:color w:val="auto"/>
          <w:sz w:val="32"/>
          <w:szCs w:val="40"/>
          <w:highlight w:val="none"/>
          <w:lang w:val="en-US" w:eastAsia="zh-CN"/>
        </w:rPr>
        <w:t>环</w:t>
      </w:r>
      <w:r>
        <w:rPr>
          <w:rFonts w:hint="default" w:ascii="Times New Roman" w:hAnsi="Times New Roman" w:eastAsia="仿宋" w:cs="Times New Roman"/>
          <w:b/>
          <w:bCs/>
          <w:color w:val="auto"/>
          <w:sz w:val="32"/>
          <w:szCs w:val="40"/>
          <w:highlight w:val="none"/>
        </w:rPr>
        <w:t>湾区生态屏障、沿海生态屏障</w:t>
      </w:r>
    </w:p>
    <w:p w14:paraId="75311DC9">
      <w:pPr>
        <w:spacing w:line="560" w:lineRule="exact"/>
        <w:ind w:firstLine="640" w:firstLineChars="200"/>
        <w:rPr>
          <w:rFonts w:hint="default" w:ascii="Times New Roman" w:hAnsi="Times New Roman" w:eastAsia="仿宋" w:cs="Times New Roman"/>
          <w:color w:val="auto"/>
          <w:sz w:val="32"/>
          <w:highlight w:val="none"/>
        </w:rPr>
      </w:pPr>
      <w:r>
        <w:rPr>
          <w:rFonts w:hint="default" w:ascii="Times New Roman" w:hAnsi="Times New Roman" w:eastAsia="仿宋" w:cs="Times New Roman"/>
          <w:color w:val="auto"/>
          <w:sz w:val="32"/>
          <w:szCs w:val="32"/>
          <w:highlight w:val="none"/>
        </w:rPr>
        <w:t>全面保护</w:t>
      </w:r>
      <w:r>
        <w:rPr>
          <w:rFonts w:hint="default" w:ascii="Times New Roman" w:hAnsi="Times New Roman" w:eastAsia="仿宋" w:cs="Times New Roman"/>
          <w:b/>
          <w:bCs/>
          <w:color w:val="auto"/>
          <w:sz w:val="32"/>
          <w:szCs w:val="32"/>
          <w:highlight w:val="none"/>
        </w:rPr>
        <w:t>南岭生态屏障</w:t>
      </w:r>
      <w:r>
        <w:rPr>
          <w:rFonts w:hint="default" w:ascii="Times New Roman" w:hAnsi="Times New Roman" w:eastAsia="仿宋" w:cs="Times New Roman"/>
          <w:color w:val="auto"/>
          <w:sz w:val="32"/>
          <w:szCs w:val="32"/>
          <w:highlight w:val="none"/>
        </w:rPr>
        <w:t>原生地带性植被，提升中亚热带山地森林生态系统质量和稳定性</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大力推进水土流失和石漠化综合治理，推进濒危物种及其栖息地保护与修复，构建生物多样性保护网络。以丘陵山地、森林为主体，强化珠三角周边环状连绵山体、丘陵及森林生态系统保护修复，形成连续、稳定、高效的</w:t>
      </w:r>
      <w:r>
        <w:rPr>
          <w:rFonts w:hint="default" w:ascii="Times New Roman" w:hAnsi="Times New Roman" w:eastAsia="仿宋" w:cs="Times New Roman"/>
          <w:b/>
          <w:bCs/>
          <w:color w:val="auto"/>
          <w:sz w:val="32"/>
          <w:szCs w:val="32"/>
          <w:highlight w:val="none"/>
        </w:rPr>
        <w:t>环湾</w:t>
      </w:r>
      <w:r>
        <w:rPr>
          <w:rFonts w:hint="default" w:ascii="Times New Roman" w:hAnsi="Times New Roman" w:eastAsia="仿宋" w:cs="Times New Roman"/>
          <w:b/>
          <w:bCs/>
          <w:color w:val="auto"/>
          <w:sz w:val="32"/>
          <w:szCs w:val="32"/>
          <w:highlight w:val="none"/>
          <w:lang w:val="en-US" w:eastAsia="zh-CN"/>
        </w:rPr>
        <w:t>区</w:t>
      </w:r>
      <w:r>
        <w:rPr>
          <w:rFonts w:hint="default" w:ascii="Times New Roman" w:hAnsi="Times New Roman" w:eastAsia="仿宋" w:cs="Times New Roman"/>
          <w:b/>
          <w:bCs/>
          <w:color w:val="auto"/>
          <w:sz w:val="32"/>
          <w:szCs w:val="32"/>
          <w:highlight w:val="none"/>
        </w:rPr>
        <w:t>生态</w:t>
      </w:r>
      <w:r>
        <w:rPr>
          <w:rFonts w:hint="default" w:ascii="Times New Roman" w:hAnsi="Times New Roman" w:eastAsia="仿宋" w:cs="Times New Roman"/>
          <w:b/>
          <w:bCs/>
          <w:color w:val="auto"/>
          <w:sz w:val="32"/>
          <w:szCs w:val="32"/>
          <w:highlight w:val="none"/>
          <w:lang w:val="en-US" w:eastAsia="zh-CN"/>
        </w:rPr>
        <w:t>屏障</w:t>
      </w:r>
      <w:r>
        <w:rPr>
          <w:rFonts w:hint="default" w:ascii="Times New Roman" w:hAnsi="Times New Roman" w:eastAsia="仿宋" w:cs="Times New Roman"/>
          <w:color w:val="auto"/>
          <w:sz w:val="32"/>
          <w:szCs w:val="32"/>
          <w:highlight w:val="none"/>
        </w:rPr>
        <w:t>。以沿海防护林、红树林等要素为主体，</w:t>
      </w:r>
      <w:r>
        <w:rPr>
          <w:rFonts w:hint="default" w:ascii="Times New Roman" w:hAnsi="Times New Roman" w:eastAsia="仿宋" w:cs="Times New Roman"/>
          <w:color w:val="auto"/>
          <w:sz w:val="32"/>
          <w:szCs w:val="32"/>
          <w:highlight w:val="none"/>
          <w:lang w:val="en-US" w:eastAsia="zh-CN"/>
        </w:rPr>
        <w:t>筑牢</w:t>
      </w:r>
      <w:r>
        <w:rPr>
          <w:rFonts w:hint="default" w:ascii="Times New Roman" w:hAnsi="Times New Roman" w:eastAsia="仿宋" w:cs="Times New Roman"/>
          <w:b/>
          <w:bCs/>
          <w:color w:val="auto"/>
          <w:sz w:val="32"/>
          <w:szCs w:val="32"/>
          <w:highlight w:val="none"/>
        </w:rPr>
        <w:t>沿海生态屏障</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rPr>
        <w:t>促进自然生态系统结构恢复和服务功能提升。</w:t>
      </w:r>
    </w:p>
    <w:p w14:paraId="4B9151CD">
      <w:pPr>
        <w:pStyle w:val="15"/>
        <w:spacing w:before="156" w:beforeLines="50" w:after="156" w:afterLines="50" w:line="560" w:lineRule="exact"/>
        <w:ind w:firstLine="643" w:firstLineChars="200"/>
        <w:outlineLvl w:val="2"/>
        <w:rPr>
          <w:rFonts w:hint="default" w:ascii="Times New Roman" w:hAnsi="Times New Roman" w:eastAsia="仿宋" w:cs="Times New Roman"/>
          <w:b/>
          <w:bCs/>
          <w:color w:val="auto"/>
          <w:sz w:val="32"/>
          <w:szCs w:val="40"/>
          <w:highlight w:val="none"/>
        </w:rPr>
      </w:pPr>
      <w:r>
        <w:rPr>
          <w:rFonts w:hint="default" w:ascii="Times New Roman" w:hAnsi="Times New Roman" w:eastAsia="仿宋" w:cs="Times New Roman"/>
          <w:b/>
          <w:bCs/>
          <w:color w:val="auto"/>
          <w:sz w:val="32"/>
          <w:szCs w:val="40"/>
          <w:highlight w:val="none"/>
        </w:rPr>
        <w:t>三、</w:t>
      </w:r>
      <w:r>
        <w:rPr>
          <w:rFonts w:hint="default" w:ascii="Times New Roman" w:hAnsi="Times New Roman" w:eastAsia="仿宋" w:cs="Times New Roman"/>
          <w:b/>
          <w:bCs/>
          <w:color w:val="auto"/>
          <w:sz w:val="32"/>
          <w:szCs w:val="40"/>
          <w:highlight w:val="none"/>
          <w:lang w:eastAsia="zh-CN"/>
        </w:rPr>
        <w:t>“</w:t>
      </w:r>
      <w:r>
        <w:rPr>
          <w:rFonts w:hint="default" w:ascii="Times New Roman" w:hAnsi="Times New Roman" w:eastAsia="仿宋" w:cs="Times New Roman"/>
          <w:b/>
          <w:bCs/>
          <w:color w:val="auto"/>
          <w:sz w:val="32"/>
          <w:szCs w:val="40"/>
          <w:highlight w:val="none"/>
        </w:rPr>
        <w:t>五域</w:t>
      </w:r>
      <w:r>
        <w:rPr>
          <w:rFonts w:hint="default" w:ascii="Times New Roman" w:hAnsi="Times New Roman" w:eastAsia="仿宋" w:cs="Times New Roman"/>
          <w:b/>
          <w:bCs/>
          <w:color w:val="auto"/>
          <w:sz w:val="32"/>
          <w:szCs w:val="40"/>
          <w:highlight w:val="none"/>
          <w:lang w:eastAsia="zh-CN"/>
        </w:rPr>
        <w:t>”</w:t>
      </w:r>
      <w:r>
        <w:rPr>
          <w:rFonts w:hint="default" w:ascii="Times New Roman" w:hAnsi="Times New Roman" w:eastAsia="仿宋" w:cs="Times New Roman"/>
          <w:b/>
          <w:bCs/>
          <w:color w:val="auto"/>
          <w:sz w:val="32"/>
          <w:szCs w:val="40"/>
          <w:highlight w:val="none"/>
        </w:rPr>
        <w:t>：西江、东江、北江、韩江、鉴江流域生态保护修复</w:t>
      </w:r>
    </w:p>
    <w:p w14:paraId="727BCE51">
      <w:pPr>
        <w:spacing w:line="560" w:lineRule="exact"/>
        <w:ind w:firstLine="640" w:firstLineChars="200"/>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统筹考虑绿化空间、水土保持空间和资源状况，坚持以水而定、量水而行，立足自然禀赋与生态现状，坚持因地制宜、科学节俭原则，坚持近自然可持续经营理念，系统推进西江、东江、北江、韩江、鉴江等重要流域森林生态保护修复，筑牢覆盖全省的流域生态安全屏障。</w:t>
      </w:r>
    </w:p>
    <w:p w14:paraId="31609139">
      <w:pPr>
        <w:spacing w:before="157" w:beforeLines="50" w:after="157" w:afterLines="50" w:line="560" w:lineRule="exact"/>
        <w:ind w:firstLine="0" w:firstLineChars="0"/>
        <w:jc w:val="center"/>
        <w:outlineLvl w:val="1"/>
        <w:rPr>
          <w:rFonts w:hint="default" w:ascii="Times New Roman" w:hAnsi="Times New Roman" w:eastAsia="黑体" w:cs="Times New Roman"/>
          <w:color w:val="auto"/>
          <w:sz w:val="32"/>
          <w:szCs w:val="40"/>
          <w:highlight w:val="none"/>
          <w:lang w:val="en-US" w:eastAsia="zh-CN"/>
        </w:rPr>
      </w:pPr>
      <w:bookmarkStart w:id="12" w:name="_Toc17040"/>
      <w:r>
        <w:rPr>
          <w:rFonts w:hint="default" w:ascii="Times New Roman" w:hAnsi="Times New Roman" w:eastAsia="黑体" w:cs="Times New Roman"/>
          <w:color w:val="auto"/>
          <w:sz w:val="32"/>
          <w:szCs w:val="40"/>
          <w:highlight w:val="none"/>
          <w:lang w:val="en-US" w:eastAsia="zh-CN"/>
        </w:rPr>
        <w:t xml:space="preserve">第二节 </w:t>
      </w:r>
      <w:r>
        <w:rPr>
          <w:rFonts w:hint="default" w:ascii="Times New Roman" w:hAnsi="Times New Roman" w:eastAsia="黑体" w:cs="Times New Roman"/>
          <w:b w:val="0"/>
          <w:bCs w:val="0"/>
          <w:color w:val="auto"/>
          <w:sz w:val="32"/>
          <w:szCs w:val="40"/>
          <w:highlight w:val="none"/>
          <w:lang w:val="en-US" w:eastAsia="zh-CN"/>
        </w:rPr>
        <w:t>持续推进森林质量精准提升</w:t>
      </w:r>
      <w:bookmarkEnd w:id="12"/>
    </w:p>
    <w:p w14:paraId="1F07FA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一、推进五江流域生态保护修复</w:t>
      </w:r>
    </w:p>
    <w:p w14:paraId="030F28DF">
      <w:pPr>
        <w:spacing w:line="56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以水系为治理单元，统筹山水林田湖草沙一体化保护和修复，把森林质量精准提升与松材线虫病防治、林业产业发展相结合，开展区域系统治理。实施五江流域生态保护和修复项目，其中：西江流域</w:t>
      </w:r>
      <w:r>
        <w:rPr>
          <w:rFonts w:hint="default" w:ascii="Times New Roman" w:hAnsi="Times New Roman" w:eastAsia="仿宋" w:cs="Times New Roman"/>
          <w:color w:val="auto"/>
          <w:sz w:val="32"/>
          <w:szCs w:val="32"/>
          <w:highlight w:val="none"/>
        </w:rPr>
        <w:t>以西江干流为依托，结合贺江、</w:t>
      </w:r>
      <w:r>
        <w:rPr>
          <w:rFonts w:hint="default" w:ascii="Times New Roman" w:hAnsi="Times New Roman" w:eastAsia="仿宋" w:cs="Times New Roman"/>
          <w:color w:val="auto"/>
          <w:sz w:val="32"/>
          <w:szCs w:val="32"/>
          <w:highlight w:val="none"/>
          <w:lang w:val="en-US" w:eastAsia="zh-CN"/>
        </w:rPr>
        <w:t>罗定江</w:t>
      </w:r>
      <w:r>
        <w:rPr>
          <w:rFonts w:hint="default" w:ascii="Times New Roman" w:hAnsi="Times New Roman" w:eastAsia="仿宋" w:cs="Times New Roman"/>
          <w:color w:val="auto"/>
          <w:sz w:val="32"/>
          <w:szCs w:val="32"/>
          <w:highlight w:val="none"/>
        </w:rPr>
        <w:t>、新兴江等重要河流，加强水系沿线水土流失治理和森林生态系统保护修复</w:t>
      </w:r>
      <w:r>
        <w:rPr>
          <w:rFonts w:hint="default" w:ascii="Times New Roman" w:hAnsi="Times New Roman" w:eastAsia="仿宋" w:cs="Times New Roman"/>
          <w:color w:val="auto"/>
          <w:sz w:val="32"/>
          <w:szCs w:val="32"/>
          <w:highlight w:val="none"/>
          <w:lang w:eastAsia="zh-CN"/>
        </w:rPr>
        <w:t>；东江流域</w:t>
      </w:r>
      <w:r>
        <w:rPr>
          <w:rFonts w:hint="default" w:ascii="Times New Roman" w:hAnsi="Times New Roman" w:eastAsia="仿宋" w:cs="Times New Roman"/>
          <w:color w:val="auto"/>
          <w:sz w:val="32"/>
          <w:szCs w:val="32"/>
          <w:highlight w:val="none"/>
        </w:rPr>
        <w:t>以提升环万绿湖片区生态能级为目标，依托东江、秋香江、浰江和新丰江构建生态廊道，结合绿道、碧道等，形成联通山水、贯穿城区、功能复合的生态廊道网络</w:t>
      </w:r>
      <w:r>
        <w:rPr>
          <w:rFonts w:hint="default" w:ascii="Times New Roman" w:hAnsi="Times New Roman" w:eastAsia="仿宋" w:cs="Times New Roman"/>
          <w:color w:val="auto"/>
          <w:sz w:val="32"/>
          <w:szCs w:val="32"/>
          <w:highlight w:val="none"/>
          <w:lang w:eastAsia="zh-CN"/>
        </w:rPr>
        <w:t>；北江流域重点</w:t>
      </w:r>
      <w:r>
        <w:rPr>
          <w:rFonts w:hint="default" w:ascii="Times New Roman" w:hAnsi="Times New Roman" w:eastAsia="仿宋" w:cs="Times New Roman"/>
          <w:color w:val="auto"/>
          <w:sz w:val="32"/>
          <w:szCs w:val="32"/>
          <w:highlight w:val="none"/>
        </w:rPr>
        <w:t>加强韶关市域内武江、浈江、北江等江河流域森林生态系统保护修复，串联孔江、翁江源、南水湖等重要湿地生态资源</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加强清远市域内北江干流、滨江、连江等饮用水源地生境保护</w:t>
      </w:r>
      <w:r>
        <w:rPr>
          <w:rFonts w:hint="default" w:ascii="Times New Roman" w:hAnsi="Times New Roman" w:eastAsia="仿宋" w:cs="Times New Roman"/>
          <w:color w:val="auto"/>
          <w:sz w:val="32"/>
          <w:szCs w:val="32"/>
          <w:highlight w:val="none"/>
          <w:lang w:eastAsia="zh-CN"/>
        </w:rPr>
        <w:t>；韩江流域重点</w:t>
      </w:r>
      <w:r>
        <w:rPr>
          <w:rFonts w:hint="default" w:ascii="Times New Roman" w:hAnsi="Times New Roman" w:eastAsia="仿宋" w:cs="Times New Roman"/>
          <w:color w:val="auto"/>
          <w:sz w:val="32"/>
          <w:szCs w:val="32"/>
          <w:highlight w:val="none"/>
        </w:rPr>
        <w:t>联通梅江等主要江河流域，加强梅州市域韩江水系沿线退化土地、森林生态系统和城乡生态的保护修复</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严格保护潮州韩江鼋、花鳗鲡等自然保护区重要生物栖息地</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强化莲花山脉水源</w:t>
      </w:r>
      <w:r>
        <w:rPr>
          <w:rFonts w:hint="default" w:ascii="Times New Roman" w:hAnsi="Times New Roman" w:eastAsia="仿宋" w:cs="Times New Roman"/>
          <w:color w:val="auto"/>
          <w:sz w:val="32"/>
          <w:szCs w:val="32"/>
          <w:highlight w:val="none"/>
          <w:lang w:eastAsia="zh-CN"/>
        </w:rPr>
        <w:t>涵养</w:t>
      </w:r>
      <w:r>
        <w:rPr>
          <w:rFonts w:hint="default" w:ascii="Times New Roman" w:hAnsi="Times New Roman" w:eastAsia="仿宋" w:cs="Times New Roman"/>
          <w:color w:val="auto"/>
          <w:sz w:val="32"/>
          <w:szCs w:val="32"/>
          <w:highlight w:val="none"/>
        </w:rPr>
        <w:t>林建设与恢复</w:t>
      </w:r>
      <w:r>
        <w:rPr>
          <w:rFonts w:hint="default" w:ascii="Times New Roman" w:hAnsi="Times New Roman" w:eastAsia="仿宋" w:cs="Times New Roman"/>
          <w:color w:val="auto"/>
          <w:sz w:val="32"/>
          <w:szCs w:val="32"/>
          <w:highlight w:val="none"/>
          <w:lang w:eastAsia="zh-CN"/>
        </w:rPr>
        <w:t>；鉴江流域重点</w:t>
      </w:r>
      <w:r>
        <w:rPr>
          <w:rFonts w:hint="default" w:ascii="Times New Roman" w:hAnsi="Times New Roman" w:eastAsia="仿宋" w:cs="Times New Roman"/>
          <w:color w:val="auto"/>
          <w:sz w:val="32"/>
          <w:szCs w:val="32"/>
          <w:highlight w:val="none"/>
        </w:rPr>
        <w:t>加强鹅凰嶂山地雨林、云雾山常绿阔叶林等原生森林生态系统保护</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加强鉴江、漠阳江等江河源头区的水源涵养林建设，优化林地结构，形成水源沿线多层次多色彩的景观。</w:t>
      </w:r>
      <w:r>
        <w:rPr>
          <w:rFonts w:hint="default" w:ascii="Times New Roman" w:hAnsi="Times New Roman" w:eastAsia="仿宋" w:cs="Times New Roman"/>
          <w:color w:val="auto"/>
          <w:sz w:val="32"/>
          <w:szCs w:val="32"/>
          <w:highlight w:val="none"/>
          <w:lang w:val="en-US" w:eastAsia="zh-CN"/>
        </w:rPr>
        <w:t>完成五江流域森林改培和退化林修复269万亩，中幼林抚育395万亩。</w:t>
      </w:r>
    </w:p>
    <w:p w14:paraId="5750442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二、增强沿海防护林体系功能</w:t>
      </w:r>
    </w:p>
    <w:p w14:paraId="54E2C42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以海岸带为治理单元，开展区域系统治理，筑牢三级基干林带防线，推进红树保护修复，扩大一级基干林带面积，增强防风消浪减灾功能，对二级、三级受损林带清损补植，提升整体生态防护能力。针对老化、灾损基干林带实施分区精准修复，粤东沙质淤泥质海岸侧重木麻黄等防护林功能提升，珠江三角洲泥质海岸聚焦林带窄带拓宽与断带填补，粤西沙质淤泥质海岸强化风口地段实施抗风造林，逐步形成多树种、多层次、多效益的防护林体系。在雷州半岛推进热带季雨林修复，对次生林强化保育、残次林改造提升、在无林地与疏林地开展人工造林，持续开展桉树低效林优化提升，逐步恢复地带性热带季雨林植被。完成沿海防护林森林改培和退化林修复79万亩，中幼林抚育86万亩。</w:t>
      </w:r>
    </w:p>
    <w:p w14:paraId="3002FB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三、提升绿色通道品质</w:t>
      </w:r>
    </w:p>
    <w:p w14:paraId="2A058F2A">
      <w:pPr>
        <w:numPr>
          <w:ilvl w:val="-1"/>
          <w:numId w:val="0"/>
        </w:numPr>
        <w:spacing w:before="157" w:beforeLines="50" w:after="157" w:afterLines="50" w:line="560" w:lineRule="exact"/>
        <w:ind w:firstLine="640" w:firstLineChars="200"/>
        <w:jc w:val="both"/>
        <w:outlineLvl w:val="9"/>
        <w:rPr>
          <w:rFonts w:hint="default" w:ascii="Times New Roman" w:hAnsi="Times New Roman" w:cs="Times New Roman" w:eastAsiaTheme="minorEastAsia"/>
          <w:color w:val="auto"/>
          <w:sz w:val="21"/>
          <w:szCs w:val="24"/>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实施交通沿线、江河沿岸、城镇周边等可视范围内低质低效、退化和染疫松林的优化提升100万亩，增强森林生态功能，提升林相景观。营建快行系统森林景观带，在高速公路、高速铁路、国省道等主要通道两侧山体开展造林绿化，提升绿化带、出入口等关键地段绿化品质。完善慢行通道景观品质，推进绿道、碧道等多道融合，营建生态步道，完善景观节点设施。构建滨海绿美通道，以生态海堤、滨海湿地、魅力沙滩、美丽海湾、活力人居海岸线建设为重点，打造山海相连的滨海景观带。串联生态人文节点，将慢行通道与邻近古村落、历史遗迹、自然公园有机衔接，形成互联互通的绿美生态网络。</w:t>
      </w:r>
    </w:p>
    <w:p w14:paraId="440814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四、加强天然林和公益林保护修复</w:t>
      </w:r>
    </w:p>
    <w:p w14:paraId="082A606D">
      <w:pPr>
        <w:numPr>
          <w:ilvl w:val="0"/>
          <w:numId w:val="0"/>
        </w:numPr>
        <w:spacing w:before="0" w:beforeLines="0" w:after="0" w:afterLines="0" w:line="560" w:lineRule="exact"/>
        <w:ind w:firstLine="640"/>
        <w:jc w:val="both"/>
        <w:outlineLvl w:val="9"/>
        <w:rPr>
          <w:rFonts w:hint="default" w:ascii="Times New Roman" w:hAnsi="Times New Roman" w:cs="Times New Roman"/>
          <w:lang w:val="en-US" w:eastAsia="zh-CN"/>
        </w:rPr>
      </w:pPr>
      <w:r>
        <w:rPr>
          <w:rFonts w:hint="default" w:ascii="Times New Roman" w:hAnsi="Times New Roman" w:eastAsia="仿宋" w:cs="Times New Roman"/>
          <w:b w:val="0"/>
          <w:bCs w:val="0"/>
          <w:color w:val="auto"/>
          <w:kern w:val="2"/>
          <w:sz w:val="32"/>
          <w:szCs w:val="32"/>
          <w:highlight w:val="none"/>
          <w:lang w:val="en-US" w:eastAsia="zh-CN" w:bidi="ar-SA"/>
        </w:rPr>
        <w:t>实行天然林保护与公益林管理并轨，全面落实管护责任，健全完善天然林保护修复制度体系。精准核定天然林保护范围，科学优化保护边界划定，确定重点保护区域与一般保护区域。在全面保护的基础上，划定并系统保护具有特殊保护价值的天然林。坚持自然恢复和人工修复相结合，保育并举，采取综合措施，</w:t>
      </w:r>
      <w:r>
        <w:rPr>
          <w:rFonts w:hint="default" w:ascii="Times New Roman" w:hAnsi="Times New Roman" w:eastAsia="仿宋" w:cs="Times New Roman"/>
          <w:color w:val="auto"/>
          <w:sz w:val="32"/>
          <w:szCs w:val="32"/>
          <w:highlight w:val="none"/>
          <w:lang w:val="en-US" w:eastAsia="zh-CN"/>
        </w:rPr>
        <w:t>完成天然林修复110万亩。</w:t>
      </w:r>
      <w:r>
        <w:rPr>
          <w:rFonts w:hint="default" w:ascii="Times New Roman" w:hAnsi="Times New Roman" w:eastAsia="仿宋" w:cs="Times New Roman"/>
          <w:b w:val="0"/>
          <w:bCs w:val="0"/>
          <w:color w:val="auto"/>
          <w:kern w:val="2"/>
          <w:sz w:val="32"/>
          <w:szCs w:val="32"/>
          <w:highlight w:val="none"/>
          <w:lang w:val="en-US" w:eastAsia="zh-CN" w:bidi="ar-SA"/>
        </w:rPr>
        <w:t>优化公益林空间布局，开展公益林异质化经营，全面提升公益林生态功能稳定性。在完善补偿机制的基础上，探索公益林经营利用措施，释放林业发展空间。</w:t>
      </w:r>
    </w:p>
    <w:p w14:paraId="13D6E4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五、推进森林可持续经营</w:t>
      </w:r>
    </w:p>
    <w:p w14:paraId="41B357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以中幼龄林抚育为重点，实施多目标全周期森林可持续经营，逐步构建以落实森林经营方案为核心的森林可持续经营体系。编制新一轮森林经营方案，创新探索适合各地实际的经营机制与模式。大力推进国有林场经营，引导国有林场与农村集体经济组织、农户联合经营，激发多元经营主体内生动力。推动建立森林可持续经营管理决策机制，完善经营投入和奖惩机制，并建立森林采伐限额管理制度以及任务申报、作业设计、林木采伐等审核审批管理制度。构建森林经营方案审查验收体系，动态优化完善森林经营方案。加强森林可持续经营动态监测评估，着力培育稳定健康、优质高效的森林生态系统。全省完成森林可持续经营75万亩。</w:t>
      </w:r>
    </w:p>
    <w:p w14:paraId="1B7D4A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六、建设珍贵树种培育基地</w:t>
      </w:r>
    </w:p>
    <w:p w14:paraId="7648BA1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依托省、市、县属国有林场，建设十万亩珍贵树种培育基地，优选乡土珍贵阔叶树种占比高的林分，以乡土珍贵阔叶树种为目标树，开展高质量抚育8万亩，并开展必要的基地配套设施建设；高质量营造、补植套种乡土珍贵阔叶树2万亩，造林后连续抚育3年，开展必要的基地配套设施建设。通过规模化推进珍贵树种资源培育，持续优化珍贵阔叶树种群落结构与质量，着力增强森林生态系统稳定性与服务功能。完善珍贵树种战略资源储备，促进生态、经济与景观效益协同释放，有效带动林业产业结构优化与林区群众增收。</w:t>
      </w:r>
    </w:p>
    <w:p w14:paraId="3A8DCD00">
      <w:pPr>
        <w:spacing w:before="157" w:beforeLines="50" w:after="157" w:afterLines="50" w:line="560" w:lineRule="exact"/>
        <w:jc w:val="center"/>
        <w:outlineLvl w:val="1"/>
        <w:rPr>
          <w:rFonts w:hint="default" w:ascii="Times New Roman" w:hAnsi="Times New Roman" w:cs="Times New Roman"/>
          <w:color w:val="auto"/>
          <w:lang w:val="en-US" w:eastAsia="zh-CN"/>
        </w:rPr>
      </w:pPr>
      <w:bookmarkStart w:id="13" w:name="_Toc21276"/>
      <w:r>
        <w:rPr>
          <w:rFonts w:hint="default" w:ascii="Times New Roman" w:hAnsi="Times New Roman" w:eastAsia="黑体" w:cs="Times New Roman"/>
          <w:color w:val="auto"/>
          <w:sz w:val="32"/>
          <w:szCs w:val="40"/>
          <w:highlight w:val="none"/>
          <w:lang w:val="en-US" w:eastAsia="zh-CN"/>
        </w:rPr>
        <w:t>第三节 加强</w:t>
      </w:r>
      <w:r>
        <w:rPr>
          <w:rFonts w:hint="default" w:ascii="Times New Roman" w:hAnsi="Times New Roman" w:eastAsia="黑体" w:cs="Times New Roman"/>
          <w:b w:val="0"/>
          <w:bCs w:val="0"/>
          <w:color w:val="auto"/>
          <w:sz w:val="32"/>
          <w:szCs w:val="40"/>
          <w:highlight w:val="none"/>
          <w:lang w:val="en-US" w:eastAsia="zh-CN"/>
        </w:rPr>
        <w:t>湿地生态保护修复</w:t>
      </w:r>
      <w:bookmarkEnd w:id="13"/>
    </w:p>
    <w:p w14:paraId="1FD407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一、强化湿地系统性保护</w:t>
      </w:r>
    </w:p>
    <w:p w14:paraId="3DC66BB8">
      <w:pPr>
        <w:numPr>
          <w:ilvl w:val="0"/>
          <w:numId w:val="0"/>
        </w:numPr>
        <w:spacing w:before="0" w:beforeLines="0" w:after="0" w:afterLines="0" w:line="560" w:lineRule="exact"/>
        <w:ind w:firstLine="640"/>
        <w:jc w:val="both"/>
        <w:outlineLvl w:val="9"/>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完善湿地分级管理，强化重要湿地监测，积极申报国家（国际）重要湿地，组织认定和发布省级重要湿地名录，指导发布一般湿地名录。加强湿地公园</w:t>
      </w:r>
      <w:r>
        <w:rPr>
          <w:rFonts w:hint="default" w:ascii="Times New Roman" w:hAnsi="Times New Roman" w:eastAsia="仿宋" w:cs="Times New Roman"/>
          <w:color w:val="auto"/>
          <w:sz w:val="32"/>
          <w:szCs w:val="32"/>
          <w:highlight w:val="none"/>
          <w:lang w:val="en-US" w:eastAsia="zh-CN"/>
        </w:rPr>
        <w:t>建设</w:t>
      </w:r>
      <w:r>
        <w:rPr>
          <w:rFonts w:hint="default" w:ascii="Times New Roman" w:hAnsi="Times New Roman" w:eastAsia="仿宋" w:cs="Times New Roman"/>
          <w:color w:val="auto"/>
          <w:sz w:val="32"/>
          <w:szCs w:val="32"/>
          <w:highlight w:val="none"/>
          <w:lang w:eastAsia="zh-CN"/>
        </w:rPr>
        <w:t>管理，指导湿地公园因地制宜编制规划，提高湿地公园建设品质与效益发挥。推进岭南特色小微湿地建设，充分发挥湿地综合效益。</w:t>
      </w:r>
    </w:p>
    <w:p w14:paraId="440BD0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二、建设珠三角大美湿地体系</w:t>
      </w:r>
    </w:p>
    <w:p w14:paraId="5AA5F23D">
      <w:pPr>
        <w:numPr>
          <w:ilvl w:val="0"/>
          <w:numId w:val="0"/>
        </w:numPr>
        <w:spacing w:before="0" w:beforeLines="0" w:after="0" w:afterLines="0" w:line="560" w:lineRule="exact"/>
        <w:ind w:firstLine="640"/>
        <w:jc w:val="both"/>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围绕“一核一带五江多点”湿地保护格局，</w:t>
      </w:r>
      <w:r>
        <w:rPr>
          <w:rFonts w:hint="default" w:ascii="Times New Roman" w:hAnsi="Times New Roman" w:eastAsia="仿宋" w:cs="Times New Roman"/>
          <w:color w:val="auto"/>
          <w:sz w:val="32"/>
          <w:szCs w:val="32"/>
          <w:highlight w:val="none"/>
          <w:lang w:eastAsia="zh-CN"/>
        </w:rPr>
        <w:t>做好重要区域湿地保护修复，协同推进小微湿地修复与湿地公园品质提升，构建水脉连通、特色鲜明的湿地生态网络。按照“生态湿地、活力湿地、惠民湿地”建设理念，系统构建珠三角大美湿地空间格局</w:t>
      </w:r>
      <w:r>
        <w:rPr>
          <w:rFonts w:hint="default" w:ascii="Times New Roman" w:hAnsi="Times New Roman" w:eastAsia="仿宋" w:cs="Times New Roman"/>
          <w:color w:val="auto"/>
          <w:sz w:val="32"/>
          <w:szCs w:val="32"/>
          <w:highlight w:val="none"/>
          <w:lang w:val="en-US" w:eastAsia="zh-CN"/>
        </w:rPr>
        <w:t>，</w:t>
      </w:r>
      <w:r>
        <w:rPr>
          <w:rFonts w:hint="default" w:ascii="Times New Roman" w:hAnsi="Times New Roman" w:eastAsia="仿宋" w:cs="Times New Roman"/>
          <w:color w:val="auto"/>
          <w:sz w:val="32"/>
          <w:szCs w:val="32"/>
          <w:highlight w:val="none"/>
          <w:lang w:eastAsia="zh-CN"/>
        </w:rPr>
        <w:t>支持</w:t>
      </w:r>
      <w:r>
        <w:rPr>
          <w:rFonts w:hint="default" w:ascii="Times New Roman" w:hAnsi="Times New Roman" w:eastAsia="仿宋" w:cs="Times New Roman"/>
          <w:color w:val="auto"/>
          <w:sz w:val="32"/>
          <w:szCs w:val="32"/>
          <w:highlight w:val="none"/>
          <w:lang w:val="en-US" w:eastAsia="zh-CN"/>
        </w:rPr>
        <w:t>广州、</w:t>
      </w:r>
      <w:r>
        <w:rPr>
          <w:rFonts w:hint="default" w:ascii="Times New Roman" w:hAnsi="Times New Roman" w:eastAsia="仿宋" w:cs="Times New Roman"/>
          <w:color w:val="auto"/>
          <w:sz w:val="32"/>
          <w:szCs w:val="32"/>
          <w:highlight w:val="none"/>
          <w:lang w:eastAsia="zh-CN"/>
        </w:rPr>
        <w:t>深圳、</w:t>
      </w:r>
      <w:r>
        <w:rPr>
          <w:rFonts w:hint="default" w:ascii="Times New Roman" w:hAnsi="Times New Roman" w:eastAsia="仿宋" w:cs="Times New Roman"/>
          <w:color w:val="auto"/>
          <w:sz w:val="32"/>
          <w:szCs w:val="32"/>
          <w:highlight w:val="none"/>
          <w:lang w:val="en-US" w:eastAsia="zh-CN"/>
        </w:rPr>
        <w:t>珠海</w:t>
      </w:r>
      <w:r>
        <w:rPr>
          <w:rFonts w:hint="default" w:ascii="Times New Roman" w:hAnsi="Times New Roman" w:eastAsia="仿宋" w:cs="Times New Roman"/>
          <w:color w:val="auto"/>
          <w:sz w:val="32"/>
          <w:szCs w:val="32"/>
          <w:highlight w:val="none"/>
          <w:lang w:eastAsia="zh-CN"/>
        </w:rPr>
        <w:t>创建国际湿地城市</w:t>
      </w:r>
      <w:r>
        <w:rPr>
          <w:rFonts w:hint="default" w:ascii="Times New Roman" w:hAnsi="Times New Roman" w:eastAsia="仿宋" w:cs="Times New Roman"/>
          <w:color w:val="auto"/>
          <w:sz w:val="32"/>
          <w:szCs w:val="32"/>
          <w:highlight w:val="none"/>
          <w:lang w:val="en-US" w:eastAsia="zh-CN"/>
        </w:rPr>
        <w:t>，在广州、深圳、珠海、佛山、东莞等市建设桑园围等6处以上具有示范引领效应的湿地生态空间，打造人与自然和谐共生的全球湿地样板。</w:t>
      </w:r>
    </w:p>
    <w:p w14:paraId="351260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三、推进湿地跨区域协同治理</w:t>
      </w:r>
    </w:p>
    <w:p w14:paraId="4AA76A04">
      <w:pPr>
        <w:numPr>
          <w:ilvl w:val="0"/>
          <w:numId w:val="0"/>
        </w:numPr>
        <w:spacing w:before="0" w:beforeLines="0" w:after="0" w:afterLines="0" w:line="560" w:lineRule="exact"/>
        <w:ind w:firstLine="640"/>
        <w:jc w:val="both"/>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强化粤港澳大湾区湿地保护合作，建立健全与港澳地区的湿地保护协同机制，探索联合监测、信息共享、协同执法等合作模式。加强跨界湿地生态廊道建设，统筹推进流域内湿地生态修复，提升区域湿地生态系统整体性和连通性。</w:t>
      </w:r>
    </w:p>
    <w:p w14:paraId="7139465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四、探索湿地可持续利用新模式</w:t>
      </w:r>
    </w:p>
    <w:p w14:paraId="749B4B44">
      <w:pPr>
        <w:numPr>
          <w:ilvl w:val="0"/>
          <w:numId w:val="0"/>
        </w:numPr>
        <w:spacing w:before="0" w:beforeLines="0" w:after="0" w:afterLines="0" w:line="560" w:lineRule="exact"/>
        <w:ind w:firstLine="640"/>
        <w:jc w:val="both"/>
        <w:outlineLvl w:val="9"/>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鼓励在湿地外围区域探索可持续利用新模式，推动红树林等重要湿地资源与生态旅游、自然教育、森林康养、生态种养等业态深度融合，发展“红树林+生态养殖”耦合模式。支持有条件地区推行湿地生态产品价值实现机制试点，探索红树林碳汇、地理标志产品等价值转化路径。依托岭南水网与滨海湿地资源，培育具有区域特色的湿地生态产业，推动湿地保护与社区发展协调共赢。</w:t>
      </w:r>
    </w:p>
    <w:p w14:paraId="09E0E2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五、加强红树林保护修复</w:t>
      </w:r>
    </w:p>
    <w:p w14:paraId="3A4015B4">
      <w:pPr>
        <w:numPr>
          <w:ilvl w:val="-1"/>
          <w:numId w:val="0"/>
        </w:numPr>
        <w:spacing w:before="0" w:beforeLines="0" w:after="0" w:afterLines="0" w:line="560" w:lineRule="exact"/>
        <w:ind w:firstLine="640" w:firstLineChars="200"/>
        <w:jc w:val="both"/>
        <w:outlineLvl w:val="9"/>
        <w:rPr>
          <w:rFonts w:hint="default" w:ascii="Times New Roman" w:hAnsi="Times New Roman" w:eastAsia="仿宋" w:cs="Times New Roman"/>
          <w:color w:val="auto"/>
          <w:sz w:val="32"/>
          <w:szCs w:val="32"/>
          <w:highlight w:val="none"/>
          <w:lang w:eastAsia="zh-CN"/>
        </w:rPr>
      </w:pPr>
      <w:r>
        <w:rPr>
          <w:rFonts w:hint="default" w:ascii="Times New Roman" w:hAnsi="Times New Roman" w:eastAsia="仿宋" w:cs="Times New Roman"/>
          <w:color w:val="auto"/>
          <w:sz w:val="32"/>
          <w:szCs w:val="32"/>
          <w:highlight w:val="none"/>
          <w:lang w:eastAsia="zh-CN"/>
        </w:rPr>
        <w:t>科学开展红树林保护修复，</w:t>
      </w:r>
      <w:r>
        <w:rPr>
          <w:rFonts w:hint="default" w:ascii="Times New Roman" w:hAnsi="Times New Roman" w:eastAsia="仿宋" w:cs="Times New Roman"/>
          <w:bCs/>
          <w:color w:val="auto"/>
          <w:sz w:val="32"/>
          <w:szCs w:val="32"/>
          <w:highlight w:val="none"/>
          <w:lang w:bidi="ar"/>
        </w:rPr>
        <w:t>因地制宜采取红树林群落结构优化、有害生物防治、生境修复、提质增效等措施修复现有红树林。</w:t>
      </w:r>
      <w:r>
        <w:rPr>
          <w:rFonts w:hint="default" w:ascii="Times New Roman" w:hAnsi="Times New Roman" w:eastAsia="仿宋" w:cs="Times New Roman"/>
          <w:color w:val="auto"/>
          <w:sz w:val="32"/>
          <w:szCs w:val="32"/>
          <w:highlight w:val="none"/>
          <w:lang w:eastAsia="zh-CN"/>
        </w:rPr>
        <w:t>加强红树林监督管理，建设“一中心一平台五分区多节点”红树林保护监测网络，实现全域红树林动态监测。</w:t>
      </w:r>
    </w:p>
    <w:p w14:paraId="5ED095FB">
      <w:pPr>
        <w:numPr>
          <w:ilvl w:val="-1"/>
          <w:numId w:val="0"/>
        </w:numPr>
        <w:spacing w:before="0" w:beforeLines="0" w:after="0" w:afterLines="0" w:line="560" w:lineRule="exact"/>
        <w:ind w:firstLine="0" w:firstLineChars="0"/>
        <w:jc w:val="both"/>
        <w:outlineLvl w:val="9"/>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color w:val="auto"/>
          <w:sz w:val="32"/>
          <w:szCs w:val="32"/>
          <w:highlight w:val="none"/>
          <w:lang w:eastAsia="zh-CN"/>
        </w:rPr>
        <w:t>巩固好“十四五”期间新营造修复红树林</w:t>
      </w:r>
      <w:r>
        <w:rPr>
          <w:rFonts w:hint="default" w:ascii="Times New Roman" w:hAnsi="Times New Roman" w:eastAsia="仿宋" w:cs="Times New Roman"/>
          <w:color w:val="auto"/>
          <w:sz w:val="32"/>
          <w:szCs w:val="32"/>
          <w:highlight w:val="none"/>
          <w:lang w:val="en-US" w:eastAsia="zh-CN"/>
        </w:rPr>
        <w:t>的</w:t>
      </w:r>
      <w:r>
        <w:rPr>
          <w:rFonts w:hint="default" w:ascii="Times New Roman" w:hAnsi="Times New Roman" w:eastAsia="仿宋" w:cs="Times New Roman"/>
          <w:color w:val="auto"/>
          <w:sz w:val="32"/>
          <w:szCs w:val="32"/>
          <w:highlight w:val="none"/>
          <w:lang w:eastAsia="zh-CN"/>
        </w:rPr>
        <w:t>成效，持续完善长效管护机制，落实管护资金，强化跟踪监测与评估等。大力支持国际红树林中心</w:t>
      </w:r>
      <w:r>
        <w:rPr>
          <w:rFonts w:hint="default" w:ascii="Times New Roman" w:hAnsi="Times New Roman" w:eastAsia="仿宋" w:cs="Times New Roman"/>
          <w:color w:val="auto"/>
          <w:sz w:val="32"/>
          <w:szCs w:val="32"/>
          <w:highlight w:val="none"/>
          <w:lang w:val="en-US" w:eastAsia="zh-CN"/>
        </w:rPr>
        <w:t>高标准</w:t>
      </w:r>
      <w:r>
        <w:rPr>
          <w:rFonts w:hint="default" w:ascii="Times New Roman" w:hAnsi="Times New Roman" w:eastAsia="仿宋" w:cs="Times New Roman"/>
          <w:color w:val="auto"/>
          <w:sz w:val="32"/>
          <w:szCs w:val="32"/>
          <w:highlight w:val="none"/>
          <w:lang w:eastAsia="zh-CN"/>
        </w:rPr>
        <w:t>建设</w:t>
      </w:r>
      <w:r>
        <w:rPr>
          <w:rFonts w:hint="default" w:ascii="Times New Roman" w:hAnsi="Times New Roman" w:eastAsia="仿宋" w:cs="Times New Roman"/>
          <w:color w:val="auto"/>
          <w:sz w:val="32"/>
          <w:szCs w:val="32"/>
          <w:highlight w:val="none"/>
          <w:lang w:val="en-US" w:eastAsia="zh-CN"/>
        </w:rPr>
        <w:t>高水平</w:t>
      </w:r>
      <w:r>
        <w:rPr>
          <w:rFonts w:hint="default" w:ascii="Times New Roman" w:hAnsi="Times New Roman" w:eastAsia="仿宋" w:cs="Times New Roman"/>
          <w:color w:val="auto"/>
          <w:sz w:val="32"/>
          <w:szCs w:val="32"/>
          <w:highlight w:val="none"/>
          <w:lang w:eastAsia="zh-CN"/>
        </w:rPr>
        <w:t>运行，进一步完善</w:t>
      </w:r>
      <w:r>
        <w:rPr>
          <w:rFonts w:hint="default" w:ascii="Times New Roman" w:hAnsi="Times New Roman" w:eastAsia="仿宋" w:cs="Times New Roman"/>
          <w:color w:val="auto"/>
          <w:sz w:val="32"/>
          <w:szCs w:val="32"/>
          <w:highlight w:val="none"/>
          <w:lang w:val="en-US" w:eastAsia="zh-CN"/>
        </w:rPr>
        <w:t>国家</w:t>
      </w:r>
      <w:r>
        <w:rPr>
          <w:rFonts w:hint="default" w:ascii="Times New Roman" w:hAnsi="Times New Roman" w:eastAsia="仿宋" w:cs="Times New Roman"/>
          <w:color w:val="auto"/>
          <w:sz w:val="32"/>
          <w:szCs w:val="32"/>
          <w:highlight w:val="none"/>
          <w:lang w:eastAsia="zh-CN"/>
        </w:rPr>
        <w:t>、省、市合作共建机制，</w:t>
      </w:r>
      <w:r>
        <w:rPr>
          <w:rFonts w:hint="default" w:ascii="Times New Roman" w:hAnsi="Times New Roman" w:eastAsia="仿宋" w:cs="Times New Roman"/>
          <w:color w:val="auto"/>
          <w:sz w:val="32"/>
          <w:szCs w:val="32"/>
          <w:highlight w:val="none"/>
          <w:lang w:val="en-US" w:eastAsia="zh-CN"/>
        </w:rPr>
        <w:t>依托</w:t>
      </w:r>
      <w:r>
        <w:rPr>
          <w:rFonts w:hint="default" w:ascii="Times New Roman" w:hAnsi="Times New Roman" w:eastAsia="仿宋" w:cs="Times New Roman"/>
          <w:color w:val="auto"/>
          <w:sz w:val="32"/>
          <w:szCs w:val="32"/>
          <w:highlight w:val="none"/>
          <w:lang w:eastAsia="zh-CN"/>
        </w:rPr>
        <w:t>红树林湿地博物馆</w:t>
      </w:r>
      <w:r>
        <w:rPr>
          <w:rFonts w:hint="default" w:ascii="Times New Roman" w:hAnsi="Times New Roman" w:eastAsia="仿宋" w:cs="Times New Roman"/>
          <w:color w:val="auto"/>
          <w:sz w:val="32"/>
          <w:szCs w:val="32"/>
          <w:highlight w:val="none"/>
          <w:lang w:val="en-US" w:eastAsia="zh-CN"/>
        </w:rPr>
        <w:t>建立全球红树林保护修复国际科研中心和国际培训中心</w:t>
      </w:r>
      <w:r>
        <w:rPr>
          <w:rFonts w:hint="default" w:ascii="Times New Roman" w:hAnsi="Times New Roman" w:eastAsia="仿宋" w:cs="Times New Roman"/>
          <w:color w:val="auto"/>
          <w:sz w:val="32"/>
          <w:szCs w:val="32"/>
          <w:highlight w:val="none"/>
          <w:lang w:eastAsia="zh-CN"/>
        </w:rPr>
        <w:t>，打造传播习近平生态文明思想、展示美丽中国建设成就、推动全球红树林保护、服务国家外交的重要平台。</w:t>
      </w:r>
    </w:p>
    <w:p w14:paraId="6F4440C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Times New Roman" w:hAnsi="Times New Roman" w:eastAsia="黑体" w:cs="Times New Roman"/>
          <w:color w:val="auto"/>
          <w:sz w:val="32"/>
          <w:szCs w:val="40"/>
          <w:highlight w:val="none"/>
          <w:lang w:val="en-US" w:eastAsia="zh-CN"/>
        </w:rPr>
      </w:pPr>
      <w:bookmarkStart w:id="14" w:name="_Toc32044"/>
      <w:r>
        <w:rPr>
          <w:rFonts w:hint="default" w:ascii="Times New Roman" w:hAnsi="Times New Roman" w:eastAsia="黑体" w:cs="Times New Roman"/>
          <w:color w:val="auto"/>
          <w:sz w:val="32"/>
          <w:szCs w:val="40"/>
          <w:highlight w:val="none"/>
          <w:lang w:val="en-US" w:eastAsia="zh-CN"/>
        </w:rPr>
        <w:t>第四节 建设岭南生态宜居绿美城乡</w:t>
      </w:r>
      <w:bookmarkEnd w:id="14"/>
    </w:p>
    <w:p w14:paraId="01A4A6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一、高水平打造内湾绿带</w:t>
      </w:r>
    </w:p>
    <w:p w14:paraId="79941124">
      <w:pPr>
        <w:numPr>
          <w:ilvl w:val="-1"/>
          <w:numId w:val="0"/>
        </w:numPr>
        <w:spacing w:beforeLines="0" w:afterLines="0" w:line="560" w:lineRule="exact"/>
        <w:ind w:firstLine="640" w:firstLineChars="200"/>
        <w:jc w:val="left"/>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构建丰富且具有特色的内湾绿带空间体系，以湾区“沿山、沿海、沿河、环湖、连城”的绿美公路为主线，串联森林、湿地、田园等湾区最具代表性的生态景观节点，打造具有岭南特色、湾区风韵、山城田海相连的生态休憩廊道。筑牢环湾双层生态屏障，实施大湾区内部重要山体森林抚育与林分优化。打造林廊串联的开敞空间，以绿道、森林步道串联郊野公园、山地公园、植物园、绿美点等生态节点，打通慢行系统断点，推动林网、水网、路网“三网”融合。重点推进环香山黄金海岸、百里西江画廊、湾区东岸都市郊野公园群、“火龙凤”郊野公园群、大夫山—孖岗—滴水岩郊野公园群、黄山鲁</w:t>
      </w:r>
      <w:r>
        <w:rPr>
          <w:rFonts w:hint="default" w:ascii="Times New Roman" w:hAnsi="Times New Roman" w:eastAsia="宋体" w:cs="Times New Roman"/>
          <w:color w:val="auto"/>
          <w:sz w:val="21"/>
          <w:szCs w:val="24"/>
          <w:highlight w:val="none"/>
          <w:vertAlign w:val="baseline"/>
          <w:lang w:val="en-US" w:eastAsia="zh-CN"/>
        </w:rPr>
        <w:t>—</w:t>
      </w:r>
      <w:r>
        <w:rPr>
          <w:rFonts w:hint="default" w:ascii="Times New Roman" w:hAnsi="Times New Roman" w:eastAsia="仿宋" w:cs="Times New Roman"/>
          <w:b w:val="0"/>
          <w:bCs w:val="0"/>
          <w:color w:val="auto"/>
          <w:sz w:val="32"/>
          <w:szCs w:val="32"/>
          <w:highlight w:val="none"/>
          <w:lang w:val="en-US" w:eastAsia="zh-CN"/>
        </w:rPr>
        <w:t>大角山郊野公园群建设。</w:t>
      </w:r>
    </w:p>
    <w:p w14:paraId="7A2606C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二、</w:t>
      </w:r>
      <w:r>
        <w:rPr>
          <w:rFonts w:hint="default" w:ascii="Times New Roman" w:hAnsi="Times New Roman" w:eastAsia="仿宋" w:cs="Times New Roman"/>
          <w:b/>
          <w:bCs/>
          <w:color w:val="auto"/>
          <w:sz w:val="32"/>
          <w:szCs w:val="40"/>
          <w:highlight w:val="none"/>
          <w:lang w:val="en-US" w:eastAsia="zh-CN"/>
        </w:rPr>
        <w:t>推进绿美点绿美带建设</w:t>
      </w:r>
    </w:p>
    <w:p w14:paraId="187CA1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统筹各区域资源，持续推进绿美点建设，支持各地级以上市培育精品绿美点。有机串联绿美点等生态重要节点打造“环南昆山—罗浮山”绿美带、潮州潮安县绿美带等一批绿美带，带动城乡绿化美化水平提升。健全绿美点管理机制，建立完善调度通报、落地上图、一点一档等制度，实现建设情况动态监管。拓宽绿美点建设资金渠道，引导金融资本和社会资本投入，做好全过程绩效管理。广泛发动社会力量参与，强化科技支撑与运维管护，推动绿美点与绿美带协同联动，构建全域覆盖的绿美生态格局。</w:t>
      </w:r>
    </w:p>
    <w:p w14:paraId="0A119B3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bookmarkStart w:id="15" w:name="_Toc329"/>
      <w:bookmarkStart w:id="16" w:name="_Toc27663"/>
      <w:bookmarkStart w:id="17" w:name="_Toc6935"/>
      <w:r>
        <w:rPr>
          <w:rFonts w:hint="default" w:ascii="Times New Roman" w:hAnsi="Times New Roman" w:eastAsia="仿宋" w:cs="Times New Roman"/>
          <w:b/>
          <w:bCs/>
          <w:color w:val="auto"/>
          <w:sz w:val="32"/>
          <w:szCs w:val="40"/>
          <w:highlight w:val="none"/>
          <w:lang w:val="en-US" w:eastAsia="zh-CN"/>
        </w:rPr>
        <w:t>三、高品质建设郊野公园、山地公园</w:t>
      </w:r>
      <w:bookmarkEnd w:id="15"/>
      <w:bookmarkEnd w:id="16"/>
      <w:bookmarkEnd w:id="17"/>
    </w:p>
    <w:p w14:paraId="4D37D6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整合串联现有林地、湿地、田园、乡村及历史文化遗存等资源要素，在科学保护的前提下适度开发利用，建设20处具有广东特色的精品郊野公园、山地公园。</w:t>
      </w:r>
      <w:r>
        <w:rPr>
          <w:rFonts w:hint="default" w:ascii="Times New Roman" w:hAnsi="Times New Roman" w:eastAsia="仿宋" w:cs="Times New Roman"/>
          <w:color w:val="auto"/>
          <w:sz w:val="32"/>
          <w:szCs w:val="32"/>
          <w:highlight w:val="none"/>
        </w:rPr>
        <w:t>分类推进郊野与山地公园建设，塑造岭南特色场景</w:t>
      </w:r>
      <w:r>
        <w:rPr>
          <w:rFonts w:hint="default" w:ascii="Times New Roman" w:hAnsi="Times New Roman" w:eastAsia="仿宋" w:cs="Times New Roman"/>
          <w:b w:val="0"/>
          <w:bCs w:val="0"/>
          <w:color w:val="auto"/>
          <w:sz w:val="32"/>
          <w:szCs w:val="32"/>
          <w:highlight w:val="none"/>
          <w:lang w:val="en-US" w:eastAsia="zh-CN"/>
        </w:rPr>
        <w:t>，打造满足户外休闲、农旅体验的高品质户外休憩空间。推动郊野公园、山地公园“五个一”基本建设，强化公园带动效应。优选一批不同类型的郊野公园、山地公园，通过建设游憩活动区域、完善设施配套、优化提升林分结构等，打造郊野公园、山地公园标志性工程，持续提升点状生态空间质量。依托郊野公园、山地公园发展城乡经济新业态，带动城乡经济高质量发展。</w:t>
      </w:r>
    </w:p>
    <w:p w14:paraId="4AE75E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1"/>
        <w:jc w:val="left"/>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四、优化绿美镇村空间</w:t>
      </w:r>
    </w:p>
    <w:p w14:paraId="6D06D1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Cs/>
          <w:color w:val="auto"/>
          <w:kern w:val="2"/>
          <w:sz w:val="32"/>
          <w:szCs w:val="52"/>
          <w:highlight w:val="none"/>
          <w:lang w:val="en-US" w:eastAsia="zh-CN" w:bidi="ar-SA"/>
        </w:rPr>
      </w:pPr>
      <w:r>
        <w:rPr>
          <w:rFonts w:hint="default" w:ascii="Times New Roman" w:hAnsi="Times New Roman" w:eastAsia="仿宋" w:cs="Times New Roman"/>
          <w:b w:val="0"/>
          <w:bCs w:val="0"/>
          <w:color w:val="auto"/>
          <w:sz w:val="32"/>
          <w:szCs w:val="32"/>
          <w:highlight w:val="none"/>
          <w:lang w:val="en-US" w:eastAsia="zh-CN"/>
        </w:rPr>
        <w:t>统筹县域、乡镇、乡村绿化，全面提升镇村生态颜值与宜居品质。拓展镇村绿化空间，县城聚焦城区绿化提质，圩镇重点优化广场、公园、道路、河岸及闲置地绿化，乡村依托“四旁”“五边”、边角地、废弃地实施见缝插绿、留白增绿，建设“三小园”等“小而美”微空间。打造特色绿美样板，乡镇结合资源禀赋，分类建设生态旅游型、休闲宜居型、岭南水乡型特色绿美城镇；乡村深挖红色人文与古树资源，打造绿美红色乡村、绿美古树乡村及古树公园，传承岭南风貌。科学配置乡土树种、经济林果与珍贵树种，兼顾生态景观与产业融合，推动绿化与乡村业态协同发展。依托林网、水网、路网构建连通城乡的生态廊道，推进绿道、碧道等多道融合；配套建设自然教育基地、游憩设施，提升绿化空间的可达性与使用体验。</w:t>
      </w:r>
      <w:bookmarkEnd w:id="11"/>
    </w:p>
    <w:p w14:paraId="6976BCCC">
      <w:pPr>
        <w:numPr>
          <w:ilvl w:val="0"/>
          <w:numId w:val="0"/>
        </w:numPr>
        <w:outlineLvl w:val="0"/>
        <w:rPr>
          <w:rFonts w:hint="default" w:ascii="Times New Roman" w:hAnsi="Times New Roman" w:eastAsia="黑体" w:cs="Times New Roman"/>
          <w:bCs/>
          <w:color w:val="auto"/>
          <w:kern w:val="2"/>
          <w:sz w:val="32"/>
          <w:szCs w:val="52"/>
          <w:highlight w:val="none"/>
          <w:lang w:val="en-US" w:eastAsia="zh-CN" w:bidi="ar-SA"/>
        </w:rPr>
        <w:sectPr>
          <w:footerReference r:id="rId6" w:type="default"/>
          <w:pgSz w:w="11906" w:h="16838"/>
          <w:pgMar w:top="1440" w:right="1800" w:bottom="1440" w:left="1800" w:header="851" w:footer="992" w:gutter="0"/>
          <w:pgNumType w:fmt="decimal"/>
          <w:cols w:space="425" w:num="1"/>
          <w:docGrid w:type="lines" w:linePitch="312" w:charSpace="0"/>
        </w:sectPr>
      </w:pPr>
    </w:p>
    <w:p w14:paraId="6E3177F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0"/>
        <w:rPr>
          <w:rFonts w:hint="default" w:ascii="Times New Roman" w:hAnsi="Times New Roman" w:eastAsia="黑体" w:cs="Times New Roman"/>
          <w:b/>
          <w:bCs/>
          <w:color w:val="auto"/>
          <w:sz w:val="32"/>
          <w:szCs w:val="40"/>
          <w:highlight w:val="none"/>
          <w:lang w:val="en-US" w:eastAsia="zh-CN"/>
        </w:rPr>
      </w:pPr>
      <w:bookmarkStart w:id="18" w:name="_Toc13971"/>
      <w:bookmarkStart w:id="19" w:name="OLE_LINK8"/>
      <w:r>
        <w:rPr>
          <w:rFonts w:hint="default" w:ascii="Times New Roman" w:hAnsi="Times New Roman" w:eastAsia="黑体" w:cs="Times New Roman"/>
          <w:b/>
          <w:bCs/>
          <w:color w:val="auto"/>
          <w:sz w:val="32"/>
          <w:szCs w:val="40"/>
          <w:highlight w:val="none"/>
          <w:lang w:val="en-US" w:eastAsia="zh-CN"/>
        </w:rPr>
        <w:t>第三章 构建以国家公园为主体的自然保护地体系，打造人与自然和谐共生典范</w:t>
      </w:r>
      <w:bookmarkEnd w:id="18"/>
    </w:p>
    <w:p w14:paraId="500E4D78">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Times New Roman" w:hAnsi="Times New Roman" w:eastAsia="黑体" w:cs="Times New Roman"/>
          <w:color w:val="auto"/>
          <w:sz w:val="32"/>
          <w:szCs w:val="40"/>
          <w:highlight w:val="none"/>
          <w:lang w:val="en-US" w:eastAsia="zh-CN"/>
        </w:rPr>
      </w:pPr>
      <w:bookmarkStart w:id="20" w:name="_Toc17289"/>
      <w:r>
        <w:rPr>
          <w:rFonts w:hint="default" w:ascii="Times New Roman" w:hAnsi="Times New Roman" w:eastAsia="黑体" w:cs="Times New Roman"/>
          <w:color w:val="auto"/>
          <w:sz w:val="32"/>
          <w:szCs w:val="40"/>
          <w:highlight w:val="none"/>
          <w:lang w:val="en-US" w:eastAsia="zh-CN"/>
        </w:rPr>
        <w:t>第一节 优化自然保护地空间格局</w:t>
      </w:r>
      <w:bookmarkEnd w:id="20"/>
    </w:p>
    <w:p w14:paraId="6167FC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构建契合广东实际的现代化自然保护地空间格局，对各级各类自然保护地实行分级设立、分级管理、分区管控，明确各类型自然保护地功能定位，加快构建以国家公园为主体、自然保护区为基础、自然公园为补充的全省自然保护地体系。完成自然保护地整合优化方案落地落细落实，系统开展自然保护地勘界立标、总体规划编制工作，妥善解决历史遗留问题。</w:t>
      </w:r>
    </w:p>
    <w:p w14:paraId="04EDC2E0">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Times New Roman" w:hAnsi="Times New Roman" w:eastAsia="黑体" w:cs="Times New Roman"/>
          <w:color w:val="auto"/>
          <w:sz w:val="32"/>
          <w:szCs w:val="40"/>
          <w:highlight w:val="none"/>
          <w:lang w:val="en-US" w:eastAsia="zh-CN"/>
        </w:rPr>
      </w:pPr>
      <w:bookmarkStart w:id="21" w:name="_Toc23806"/>
      <w:bookmarkStart w:id="22" w:name="_Toc4440"/>
      <w:bookmarkStart w:id="23" w:name="_Toc23382"/>
      <w:bookmarkStart w:id="24" w:name="_Toc31330"/>
      <w:r>
        <w:rPr>
          <w:rFonts w:hint="default" w:ascii="Times New Roman" w:hAnsi="Times New Roman" w:eastAsia="黑体" w:cs="Times New Roman"/>
          <w:color w:val="auto"/>
          <w:sz w:val="32"/>
          <w:szCs w:val="40"/>
          <w:highlight w:val="none"/>
          <w:lang w:val="en-US" w:eastAsia="zh-CN"/>
        </w:rPr>
        <w:t>第二节 高质量建设国家公园</w:t>
      </w:r>
      <w:bookmarkEnd w:id="21"/>
      <w:bookmarkEnd w:id="22"/>
      <w:bookmarkEnd w:id="23"/>
      <w:bookmarkEnd w:id="24"/>
    </w:p>
    <w:p w14:paraId="3BDAC214">
      <w:pPr>
        <w:keepNext w:val="0"/>
        <w:keepLines w:val="0"/>
        <w:pageBreakBefore w:val="0"/>
        <w:widowControl w:val="0"/>
        <w:kinsoku/>
        <w:wordWrap/>
        <w:overflowPunct/>
        <w:topLinePunct w:val="0"/>
        <w:autoSpaceDE/>
        <w:autoSpaceDN/>
        <w:bidi w:val="0"/>
        <w:adjustRightInd/>
        <w:snapToGrid/>
        <w:spacing w:before="0" w:beforeLines="-2147483648" w:after="0" w:afterLines="-2147483648" w:line="560" w:lineRule="exact"/>
        <w:ind w:left="0"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高标准、高质量推进国家公园建设，着力构建具有广东特色的国家公园典范。完成南岭国家公园候选区设立和丹霞山国家公园候选区的创建工作。妥善解决区域内历史遗留问题和矛盾冲突，积极推动国家公园管理机构的设置，健全统一规范高效的管理体制。加强生态保护修复和基础设施体系建设，强化中华穿山甲、鳄蜥等旗舰物种及其栖息地的重点保护。</w:t>
      </w:r>
      <w:bookmarkStart w:id="25" w:name="_Toc17450"/>
    </w:p>
    <w:p w14:paraId="19A6CF0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Times New Roman" w:hAnsi="Times New Roman" w:eastAsia="黑体" w:cs="Times New Roman"/>
          <w:color w:val="auto"/>
          <w:sz w:val="32"/>
          <w:szCs w:val="40"/>
          <w:highlight w:val="none"/>
          <w:lang w:val="en-US" w:eastAsia="zh-CN"/>
        </w:rPr>
      </w:pPr>
      <w:bookmarkStart w:id="26" w:name="_Toc10567"/>
      <w:r>
        <w:rPr>
          <w:rFonts w:hint="default" w:ascii="Times New Roman" w:hAnsi="Times New Roman" w:eastAsia="黑体" w:cs="Times New Roman"/>
          <w:color w:val="auto"/>
          <w:sz w:val="32"/>
          <w:szCs w:val="40"/>
          <w:highlight w:val="none"/>
          <w:lang w:val="en-US" w:eastAsia="zh-CN"/>
        </w:rPr>
        <w:t>第三节 高水平建设自然保护区和自然公园</w:t>
      </w:r>
      <w:bookmarkEnd w:id="26"/>
    </w:p>
    <w:p w14:paraId="01860E42">
      <w:pPr>
        <w:keepNext w:val="0"/>
        <w:keepLines w:val="0"/>
        <w:pageBreakBefore w:val="0"/>
        <w:widowControl w:val="0"/>
        <w:kinsoku/>
        <w:wordWrap/>
        <w:overflowPunct/>
        <w:topLinePunct w:val="0"/>
        <w:autoSpaceDE/>
        <w:autoSpaceDN/>
        <w:bidi w:val="0"/>
        <w:adjustRightInd/>
        <w:snapToGrid/>
        <w:spacing w:before="0" w:beforeLines="-2147483648" w:after="0" w:afterLines="-2147483648" w:line="560" w:lineRule="exact"/>
        <w:ind w:left="0"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bookmarkStart w:id="27" w:name="OLE_LINK3"/>
      <w:r>
        <w:rPr>
          <w:rFonts w:hint="default" w:ascii="Times New Roman" w:hAnsi="Times New Roman" w:eastAsia="仿宋" w:cs="Times New Roman"/>
          <w:b w:val="0"/>
          <w:bCs w:val="0"/>
          <w:color w:val="auto"/>
          <w:sz w:val="32"/>
          <w:szCs w:val="32"/>
          <w:highlight w:val="none"/>
          <w:lang w:val="en-US" w:eastAsia="zh-CN"/>
        </w:rPr>
        <w:t>高水平建设一批有代表性的自然保护区，提升巡护监测信息化和智能化水平，打造科普宣教特色品牌，探索自然保护和资源利用结合的新模式，促进周边社区绿色发展。打造一批兼具生态价值、旅游功能及社会经济效益的自然公园标杆，提升生态服务能力，拓展优质生态产品供给，建设体现自然风貌的旅游服务设施，打造自然公园特色科普宣教和生态旅游品牌，辐射带动周边社区协同发展。</w:t>
      </w:r>
    </w:p>
    <w:bookmarkEnd w:id="27"/>
    <w:p w14:paraId="05B613C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Times New Roman" w:hAnsi="Times New Roman" w:eastAsia="黑体" w:cs="Times New Roman"/>
          <w:color w:val="auto"/>
          <w:sz w:val="32"/>
          <w:szCs w:val="40"/>
          <w:highlight w:val="none"/>
          <w:lang w:val="en-US" w:eastAsia="zh-CN"/>
        </w:rPr>
      </w:pPr>
      <w:bookmarkStart w:id="28" w:name="_Toc25085"/>
      <w:bookmarkStart w:id="29" w:name="_Toc9227"/>
      <w:bookmarkStart w:id="30" w:name="_Toc32534"/>
      <w:r>
        <w:rPr>
          <w:rFonts w:hint="default" w:ascii="Times New Roman" w:hAnsi="Times New Roman" w:eastAsia="黑体" w:cs="Times New Roman"/>
          <w:color w:val="auto"/>
          <w:sz w:val="32"/>
          <w:szCs w:val="40"/>
          <w:highlight w:val="none"/>
          <w:lang w:val="en-US" w:eastAsia="zh-CN"/>
        </w:rPr>
        <w:t>第四节 提升自然保护地管理效能</w:t>
      </w:r>
      <w:bookmarkEnd w:id="25"/>
      <w:bookmarkEnd w:id="28"/>
      <w:bookmarkEnd w:id="29"/>
      <w:bookmarkEnd w:id="30"/>
    </w:p>
    <w:p w14:paraId="321412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构建全域自然保护区网格化监测监管体系，以自然恢复为主，辅以必要的人工干预措施，提高自然保护地资源完整性和原真性水平。科学设置自然保护地管理机构，建立统一规范高效的自然保护地管理体制。全面提升自然保护地保护管理能力，逐步实现全省自然保护地的现代化管理。强化管理机构与人才建设，逐步理顺管理体制。加强自然保护地监督管理能力，定期开展自然保护地人类活动遥感监测。</w:t>
      </w:r>
    </w:p>
    <w:p w14:paraId="3DFFF9B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outlineLvl w:val="1"/>
        <w:rPr>
          <w:rFonts w:hint="default" w:ascii="Times New Roman" w:hAnsi="Times New Roman" w:eastAsia="黑体" w:cs="Times New Roman"/>
          <w:color w:val="auto"/>
          <w:sz w:val="32"/>
          <w:szCs w:val="40"/>
          <w:highlight w:val="none"/>
          <w:lang w:val="en-US" w:eastAsia="zh-CN"/>
        </w:rPr>
      </w:pPr>
      <w:bookmarkStart w:id="31" w:name="_Toc30008"/>
      <w:bookmarkStart w:id="32" w:name="_Toc32714"/>
      <w:bookmarkStart w:id="33" w:name="_Toc14356"/>
      <w:bookmarkStart w:id="34" w:name="_Toc32588"/>
      <w:r>
        <w:rPr>
          <w:rFonts w:hint="default" w:ascii="Times New Roman" w:hAnsi="Times New Roman" w:eastAsia="黑体" w:cs="Times New Roman"/>
          <w:color w:val="auto"/>
          <w:sz w:val="32"/>
          <w:szCs w:val="40"/>
          <w:highlight w:val="none"/>
          <w:lang w:val="en-US" w:eastAsia="zh-CN"/>
        </w:rPr>
        <w:t>第五节 推动自然保护地</w:t>
      </w:r>
      <w:bookmarkEnd w:id="31"/>
      <w:r>
        <w:rPr>
          <w:rFonts w:hint="default" w:ascii="Times New Roman" w:hAnsi="Times New Roman" w:eastAsia="黑体" w:cs="Times New Roman"/>
          <w:color w:val="auto"/>
          <w:sz w:val="32"/>
          <w:szCs w:val="40"/>
          <w:highlight w:val="none"/>
          <w:lang w:val="en-US" w:eastAsia="zh-CN"/>
        </w:rPr>
        <w:t>绿色发展</w:t>
      </w:r>
      <w:bookmarkEnd w:id="32"/>
      <w:bookmarkEnd w:id="33"/>
      <w:bookmarkEnd w:id="34"/>
    </w:p>
    <w:p w14:paraId="2FB5ED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加强自然保护地与世界自然遗产、世界地质公园等协同保护。利用自然保护地资源优势，鼓励、扶持、推动当地社区与自然保护地和谐发展、互惠互利，共同促进区域经济繁荣。创新社区共建共治共享机制，引导国家公园周边社区绿色产业转型发展，培育绿色发展新动能。助力大湾区建成世界级旅游目的地，科学利用自然保护地内无居民海岛。</w:t>
      </w:r>
    </w:p>
    <w:p w14:paraId="354F9C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p>
    <w:p w14:paraId="1748ED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p>
    <w:p w14:paraId="27C0D1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p>
    <w:p w14:paraId="67BD2DF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val="0"/>
          <w:color w:val="auto"/>
          <w:sz w:val="32"/>
          <w:szCs w:val="32"/>
          <w:highlight w:val="none"/>
          <w:lang w:val="en-US" w:eastAsia="zh-CN"/>
        </w:rPr>
      </w:pPr>
    </w:p>
    <w:p w14:paraId="1282755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0"/>
        <w:rPr>
          <w:rFonts w:hint="default" w:ascii="Times New Roman" w:hAnsi="Times New Roman" w:eastAsia="黑体" w:cs="Times New Roman"/>
          <w:b/>
          <w:bCs/>
          <w:color w:val="auto"/>
          <w:sz w:val="32"/>
          <w:szCs w:val="40"/>
          <w:highlight w:val="none"/>
          <w:lang w:val="en-US" w:eastAsia="zh-CN"/>
        </w:rPr>
        <w:sectPr>
          <w:pgSz w:w="11906" w:h="16838"/>
          <w:pgMar w:top="1440" w:right="1800" w:bottom="1440" w:left="1800" w:header="851" w:footer="992" w:gutter="0"/>
          <w:pgNumType w:fmt="decimal"/>
          <w:cols w:space="425" w:num="1"/>
          <w:docGrid w:type="lines" w:linePitch="312" w:charSpace="0"/>
        </w:sectPr>
      </w:pPr>
    </w:p>
    <w:p w14:paraId="67A2A9D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0"/>
        <w:rPr>
          <w:rFonts w:hint="default" w:ascii="Times New Roman" w:hAnsi="Times New Roman" w:eastAsia="黑体" w:cs="Times New Roman"/>
          <w:b/>
          <w:bCs/>
          <w:color w:val="auto"/>
          <w:sz w:val="32"/>
          <w:szCs w:val="40"/>
          <w:highlight w:val="none"/>
          <w:lang w:val="en-US" w:eastAsia="zh-CN"/>
        </w:rPr>
      </w:pPr>
      <w:bookmarkStart w:id="35" w:name="_Toc9846"/>
      <w:r>
        <w:rPr>
          <w:rFonts w:hint="default" w:ascii="Times New Roman" w:hAnsi="Times New Roman" w:eastAsia="黑体" w:cs="Times New Roman"/>
          <w:b/>
          <w:bCs/>
          <w:color w:val="auto"/>
          <w:sz w:val="32"/>
          <w:szCs w:val="40"/>
          <w:highlight w:val="none"/>
          <w:lang w:val="en-US" w:eastAsia="zh-CN"/>
        </w:rPr>
        <w:t>第四章 建设动植物保护体系，实现生物多样性永续传承</w:t>
      </w:r>
      <w:bookmarkEnd w:id="35"/>
    </w:p>
    <w:p w14:paraId="07FD898C">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36" w:name="_Toc27268"/>
      <w:r>
        <w:rPr>
          <w:rFonts w:hint="default" w:ascii="Times New Roman" w:hAnsi="Times New Roman" w:eastAsia="黑体" w:cs="Times New Roman"/>
          <w:b w:val="0"/>
          <w:bCs w:val="0"/>
          <w:color w:val="auto"/>
          <w:sz w:val="32"/>
          <w:szCs w:val="40"/>
          <w:highlight w:val="none"/>
          <w:lang w:val="en-US" w:eastAsia="zh-CN"/>
        </w:rPr>
        <w:t>第一节 岭南特色植物园体系</w:t>
      </w:r>
      <w:bookmarkEnd w:id="36"/>
    </w:p>
    <w:p w14:paraId="03B45E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3" w:firstLineChars="200"/>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一、高水平建设植物园</w:t>
      </w:r>
    </w:p>
    <w:p w14:paraId="63CBB4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推动建成以国家植物园为主体，各地特色植物园为补充的岭南特色植物园体系，构建</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1+N</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的空间格局</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lang w:val="en-US" w:eastAsia="zh-CN"/>
        </w:rPr>
        <w:t>高水平建设华南国家植物园，推进“3E植物计划”，构建“一中心、两基地、一产业链”格局，深化城园融合。</w:t>
      </w:r>
      <w:r>
        <w:rPr>
          <w:rFonts w:hint="default" w:ascii="Times New Roman" w:hAnsi="Times New Roman" w:eastAsia="仿宋" w:cs="Times New Roman"/>
          <w:color w:val="auto"/>
          <w:sz w:val="32"/>
          <w:szCs w:val="32"/>
          <w:highlight w:val="none"/>
        </w:rPr>
        <w:t>各地立足自身禀赋，建设主题鲜明的特色植物园，开展植物资源保护、创新利用等工作。重点提升深圳仙湖、佛山、惠州、东莞、中山等植物园，新建韶关、梅州、茂名、潮州</w:t>
      </w:r>
      <w:r>
        <w:rPr>
          <w:rFonts w:hint="eastAsia" w:ascii="Times New Roman" w:hAnsi="Times New Roman" w:eastAsia="仿宋" w:cs="Times New Roman"/>
          <w:color w:val="auto"/>
          <w:sz w:val="32"/>
          <w:szCs w:val="32"/>
          <w:highlight w:val="none"/>
          <w:lang w:eastAsia="zh-CN"/>
        </w:rPr>
        <w:t>、</w:t>
      </w:r>
      <w:r>
        <w:rPr>
          <w:rFonts w:hint="eastAsia" w:ascii="Times New Roman" w:hAnsi="Times New Roman" w:eastAsia="仿宋" w:cs="Times New Roman"/>
          <w:color w:val="auto"/>
          <w:sz w:val="32"/>
          <w:szCs w:val="32"/>
          <w:highlight w:val="none"/>
          <w:lang w:val="en-US" w:eastAsia="zh-CN"/>
        </w:rPr>
        <w:t>河源</w:t>
      </w:r>
      <w:r>
        <w:rPr>
          <w:rFonts w:hint="default" w:ascii="Times New Roman" w:hAnsi="Times New Roman" w:eastAsia="仿宋" w:cs="Times New Roman"/>
          <w:color w:val="auto"/>
          <w:sz w:val="32"/>
          <w:szCs w:val="32"/>
          <w:highlight w:val="none"/>
        </w:rPr>
        <w:t>等植物园，全面建成覆盖全省的植物园体系。</w:t>
      </w:r>
      <w:bookmarkStart w:id="88" w:name="_GoBack"/>
      <w:bookmarkEnd w:id="88"/>
    </w:p>
    <w:p w14:paraId="34BDAF6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643" w:firstLineChars="200"/>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kern w:val="2"/>
          <w:sz w:val="32"/>
          <w:szCs w:val="32"/>
          <w:lang w:val="en-US" w:eastAsia="zh-CN" w:bidi="ar-SA"/>
        </w:rPr>
        <w:t>二、</w:t>
      </w:r>
      <w:r>
        <w:rPr>
          <w:rFonts w:hint="default" w:ascii="Times New Roman" w:hAnsi="Times New Roman" w:eastAsia="仿宋" w:cs="Times New Roman"/>
          <w:b/>
          <w:bCs/>
          <w:color w:val="auto"/>
          <w:sz w:val="32"/>
          <w:szCs w:val="32"/>
          <w:highlight w:val="none"/>
          <w:lang w:val="en-US" w:eastAsia="zh-CN"/>
        </w:rPr>
        <w:t>构建植物资源保护利用体系</w:t>
      </w:r>
    </w:p>
    <w:p w14:paraId="0C4402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color w:val="auto"/>
          <w:sz w:val="32"/>
          <w:szCs w:val="32"/>
          <w:highlight w:val="none"/>
        </w:rPr>
        <w:t>推动</w:t>
      </w:r>
      <w:r>
        <w:rPr>
          <w:rFonts w:hint="default" w:ascii="Times New Roman" w:hAnsi="Times New Roman" w:eastAsia="仿宋" w:cs="Times New Roman"/>
          <w:color w:val="auto"/>
          <w:sz w:val="32"/>
          <w:szCs w:val="32"/>
          <w:highlight w:val="none"/>
          <w:lang w:eastAsia="zh-CN"/>
        </w:rPr>
        <w:t>蕨类、苏铁科等类群及南药、红木等经济植物引种收集上保持全国领先。系统收集珍稀濒危、特有及高经济价值植物种质资源，在兰科、簕杜鹃等观赏植物，松柏樟等材用植物及热带植物的引种收集和可持续利用上达到国内领先。创新“政府引导、企业主体、社会参与”共建模式，发展“植物+”多元业态，推进现有专类园基础设施改造。</w:t>
      </w:r>
      <w:r>
        <w:rPr>
          <w:rFonts w:hint="default" w:ascii="Times New Roman" w:hAnsi="Times New Roman" w:eastAsia="仿宋" w:cs="Times New Roman"/>
          <w:b w:val="0"/>
          <w:bCs w:val="0"/>
          <w:color w:val="auto"/>
          <w:sz w:val="32"/>
          <w:szCs w:val="32"/>
          <w:highlight w:val="none"/>
          <w:lang w:val="en-US" w:eastAsia="zh-CN"/>
        </w:rPr>
        <w:t>建立极小种群及重点保护野生植物保护点、设置保护标志，强化就地保护。</w:t>
      </w:r>
    </w:p>
    <w:p w14:paraId="6655EBB3">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37" w:name="_Toc7891"/>
      <w:r>
        <w:rPr>
          <w:rFonts w:hint="default" w:ascii="Times New Roman" w:hAnsi="Times New Roman" w:eastAsia="黑体" w:cs="Times New Roman"/>
          <w:b w:val="0"/>
          <w:bCs w:val="0"/>
          <w:color w:val="auto"/>
          <w:sz w:val="32"/>
          <w:szCs w:val="40"/>
          <w:highlight w:val="none"/>
          <w:lang w:val="en-US" w:eastAsia="zh-CN"/>
        </w:rPr>
        <w:t>第二节 推进动物迁地保护</w:t>
      </w:r>
      <w:bookmarkEnd w:id="37"/>
    </w:p>
    <w:p w14:paraId="325BC62B">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一、建设国家林业和草原局穿山甲保护研究中心</w:t>
      </w:r>
    </w:p>
    <w:p w14:paraId="5A6CF2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构建以国家林草局穿山甲保护研究中心为引领、国内外知名的区域性物种迁地保护研究体系。重点建设穿山甲保护重点实验室和长期科研基地，构建以穿山甲为引领的区域性旗舰物种保护体系，建设陆生野生动物疫源疫病检测和收容救护、国家和省重点关注物种监测保护体系。</w:t>
      </w:r>
    </w:p>
    <w:p w14:paraId="4D177876">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二、加强华南虎繁育和野化回归</w:t>
      </w:r>
    </w:p>
    <w:p w14:paraId="08A20C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依托广州动物园、清远及韶关华南虎繁育野化相关基地，推进华南虎种源调配、人工繁育、野化训练及科研工作，实现种群数量稳步复壮。加强华南虎科普与自然教育基地建设，探索实施华南虎放归自然工程。</w:t>
      </w:r>
    </w:p>
    <w:p w14:paraId="2E59212B">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三、强化候鸟资源保护</w:t>
      </w:r>
    </w:p>
    <w:p w14:paraId="0FA221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开展全省候鸟资源调查监测评估，构建“空天地”一体化保护监测网络，建立全省候鸟多样性数据库，提升广东省候鸟关键栖息地保护监测能力。推进迁徙通道重要节点保护修复，重点强化东部沿海、华南—西南迁徙路线及越冬区保护。科学布局鸟类环志点，长效追踪候鸟种群动态；加强候鸟科研宣教与研究，完善保护监测站基础设施。</w:t>
      </w:r>
    </w:p>
    <w:p w14:paraId="196442D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38" w:name="_Toc18028"/>
      <w:r>
        <w:rPr>
          <w:rFonts w:hint="default" w:ascii="Times New Roman" w:hAnsi="Times New Roman" w:eastAsia="黑体" w:cs="Times New Roman"/>
          <w:b w:val="0"/>
          <w:bCs w:val="0"/>
          <w:color w:val="auto"/>
          <w:sz w:val="32"/>
          <w:szCs w:val="40"/>
          <w:highlight w:val="none"/>
          <w:lang w:val="en-US" w:eastAsia="zh-CN"/>
        </w:rPr>
        <w:t>第三节 加强陆生野生动物疫源疫病</w:t>
      </w:r>
      <w:r>
        <w:rPr>
          <w:rFonts w:hint="default" w:ascii="Times New Roman" w:hAnsi="Times New Roman" w:eastAsia="黑体" w:cs="Times New Roman"/>
          <w:color w:val="auto"/>
          <w:sz w:val="32"/>
          <w:szCs w:val="40"/>
          <w:highlight w:val="none"/>
          <w:lang w:eastAsia="zh-CN"/>
        </w:rPr>
        <w:t>监测预警</w:t>
      </w:r>
      <w:bookmarkEnd w:id="38"/>
    </w:p>
    <w:p w14:paraId="21B84A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优化完善全省陆生野生动物疫源疫病监测站点布局和预警体系。加强疫源野生动物本底调查，建立病原体数据库；开展大湾区候鸟疫病与生物安全监测，强化野生鸟类高致病性禽流感、野猪瘟疫的监测防控，制定染疫野生动植物无害化处理标准。配置应用智能监测装备，提升野生动物疫源疫病防控应急指挥及保障能力。</w:t>
      </w:r>
    </w:p>
    <w:p w14:paraId="6A3E39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39" w:name="_Toc28736"/>
      <w:r>
        <w:rPr>
          <w:rFonts w:hint="default" w:ascii="Times New Roman" w:hAnsi="Times New Roman" w:eastAsia="黑体" w:cs="Times New Roman"/>
          <w:b w:val="0"/>
          <w:bCs w:val="0"/>
          <w:color w:val="auto"/>
          <w:kern w:val="2"/>
          <w:sz w:val="32"/>
          <w:szCs w:val="40"/>
          <w:highlight w:val="none"/>
          <w:lang w:val="en-US" w:eastAsia="zh-CN" w:bidi="ar-SA"/>
        </w:rPr>
        <w:t>第四节</w:t>
      </w:r>
      <w:r>
        <w:rPr>
          <w:rFonts w:hint="default" w:ascii="Times New Roman" w:hAnsi="Times New Roman" w:eastAsia="黑体" w:cs="Times New Roman"/>
          <w:b w:val="0"/>
          <w:bCs w:val="0"/>
          <w:color w:val="auto"/>
          <w:sz w:val="32"/>
          <w:szCs w:val="40"/>
          <w:highlight w:val="none"/>
          <w:lang w:val="en-US" w:eastAsia="zh-CN"/>
        </w:rPr>
        <w:t xml:space="preserve"> 加强生物多样性保护与利用</w:t>
      </w:r>
      <w:bookmarkEnd w:id="39"/>
    </w:p>
    <w:p w14:paraId="2BC467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持续推进生物多样性本底调查，修编广东植被志与植物志。加强珍稀濒危物种及其栖息地、原生地监测，建立涵盖重要生态系统类型和重要保护物种的生物多样性监测网络体系。拯救保护极小种群野生植物，完善全省野生动植物救护网络，强化旗舰物种引领的生态系统保护。推进种质资源库、基因保存库建设，收集保存重点保护野生植物及特色药用植物资源。开展药用野生动植物调查与综合利用研究，高质量发展南药产业，加强观赏植物资源利用。</w:t>
      </w:r>
    </w:p>
    <w:p w14:paraId="20FC7AF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color w:val="auto"/>
          <w:sz w:val="21"/>
          <w:szCs w:val="24"/>
          <w:highlight w:val="none"/>
          <w:lang w:val="en-US" w:eastAsia="zh-CN"/>
        </w:rPr>
        <w:sectPr>
          <w:pgSz w:w="11906" w:h="16838"/>
          <w:pgMar w:top="1440" w:right="1800" w:bottom="1440" w:left="1800" w:header="851" w:footer="992" w:gutter="0"/>
          <w:cols w:space="425" w:num="1"/>
          <w:docGrid w:type="lines" w:linePitch="312" w:charSpace="0"/>
        </w:sectPr>
      </w:pPr>
    </w:p>
    <w:p w14:paraId="754DA856">
      <w:pPr>
        <w:spacing w:beforeLines="50" w:afterLines="50" w:line="560" w:lineRule="exact"/>
        <w:jc w:val="center"/>
        <w:outlineLvl w:val="0"/>
        <w:rPr>
          <w:rFonts w:hint="default" w:ascii="Times New Roman" w:hAnsi="Times New Roman" w:eastAsia="黑体" w:cs="Times New Roman"/>
          <w:b/>
          <w:bCs/>
          <w:sz w:val="32"/>
          <w:szCs w:val="40"/>
        </w:rPr>
      </w:pPr>
      <w:bookmarkStart w:id="40" w:name="_Toc1625"/>
      <w:r>
        <w:rPr>
          <w:rFonts w:hint="default" w:ascii="Times New Roman" w:hAnsi="Times New Roman" w:eastAsia="黑体" w:cs="Times New Roman"/>
          <w:b/>
          <w:bCs/>
          <w:sz w:val="32"/>
          <w:szCs w:val="40"/>
        </w:rPr>
        <w:t>第</w:t>
      </w:r>
      <w:r>
        <w:rPr>
          <w:rFonts w:hint="default" w:ascii="Times New Roman" w:hAnsi="Times New Roman" w:eastAsia="黑体" w:cs="Times New Roman"/>
          <w:b/>
          <w:bCs/>
          <w:sz w:val="32"/>
          <w:szCs w:val="40"/>
          <w:lang w:val="en-US" w:eastAsia="zh-CN"/>
        </w:rPr>
        <w:t>五</w:t>
      </w:r>
      <w:r>
        <w:rPr>
          <w:rFonts w:hint="default" w:ascii="Times New Roman" w:hAnsi="Times New Roman" w:eastAsia="黑体" w:cs="Times New Roman"/>
          <w:b/>
          <w:bCs/>
          <w:sz w:val="32"/>
          <w:szCs w:val="40"/>
        </w:rPr>
        <w:t>章 健全林业产业发展体系，激活兴业富民新动能</w:t>
      </w:r>
      <w:bookmarkEnd w:id="40"/>
    </w:p>
    <w:p w14:paraId="073589B0">
      <w:pPr>
        <w:spacing w:beforeLines="50" w:afterLines="50" w:line="560" w:lineRule="exact"/>
        <w:jc w:val="center"/>
        <w:outlineLvl w:val="1"/>
        <w:rPr>
          <w:rFonts w:hint="default" w:ascii="Times New Roman" w:hAnsi="Times New Roman" w:eastAsia="黑体" w:cs="Times New Roman"/>
          <w:sz w:val="32"/>
          <w:szCs w:val="40"/>
        </w:rPr>
      </w:pPr>
      <w:bookmarkStart w:id="41" w:name="_Toc26881"/>
      <w:r>
        <w:rPr>
          <w:rFonts w:hint="default" w:ascii="Times New Roman" w:hAnsi="Times New Roman" w:eastAsia="黑体" w:cs="Times New Roman"/>
          <w:sz w:val="32"/>
          <w:szCs w:val="40"/>
        </w:rPr>
        <w:t>第一节 推动林业产业转型升级</w:t>
      </w:r>
      <w:bookmarkEnd w:id="41"/>
    </w:p>
    <w:p w14:paraId="7C90D8FA">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一、推动木竹材产业规模化升级</w:t>
      </w:r>
    </w:p>
    <w:p w14:paraId="4BED7F76">
      <w:pPr>
        <w:pStyle w:val="16"/>
        <w:ind w:firstLine="640"/>
        <w:rPr>
          <w:rFonts w:hint="default" w:ascii="Times New Roman" w:hAnsi="Times New Roman" w:eastAsia="仿宋" w:cs="Times New Roman"/>
          <w:sz w:val="32"/>
          <w:szCs w:val="32"/>
        </w:rPr>
      </w:pPr>
      <w:r>
        <w:rPr>
          <w:rFonts w:hint="default" w:ascii="Times New Roman" w:hAnsi="Times New Roman" w:eastAsia="仿宋" w:cs="Times New Roman"/>
          <w:sz w:val="32"/>
          <w:szCs w:val="40"/>
        </w:rPr>
        <w:t>构建木材战略储备体系，规模化培育桉树、黑木相思、杉木等速生丰产林，科学布局橡胶、竹子等工业原料林，</w:t>
      </w:r>
      <w:r>
        <w:rPr>
          <w:rFonts w:hint="default" w:ascii="Times New Roman" w:hAnsi="Times New Roman" w:eastAsia="仿宋" w:cs="Times New Roman"/>
          <w:sz w:val="32"/>
          <w:szCs w:val="32"/>
        </w:rPr>
        <w:t>培育优良笋用竹种，</w:t>
      </w:r>
      <w:r>
        <w:rPr>
          <w:rFonts w:hint="default" w:ascii="Times New Roman" w:hAnsi="Times New Roman" w:eastAsia="仿宋" w:cs="Times New Roman"/>
          <w:sz w:val="32"/>
          <w:szCs w:val="40"/>
        </w:rPr>
        <w:t>定向培育降香黄檀、土沉香、红锥、格木、闽楠、柚木、交趾黄檀等珍贵用材林，发展“国家储备林+”特色产业，</w:t>
      </w:r>
      <w:r>
        <w:rPr>
          <w:rFonts w:hint="default" w:ascii="Times New Roman" w:hAnsi="Times New Roman" w:eastAsia="仿宋" w:cs="Times New Roman"/>
          <w:sz w:val="32"/>
          <w:szCs w:val="32"/>
        </w:rPr>
        <w:t>在韶关、肇庆、清远、河源等地推进竹林可持续经营。深化木制产品头部企业国际合作，打造全球知名的佛山—中山国际家具产业总部经济区。攻关环保型加工技术、智能生产装备与绿色漆料应用，提升产品附加值与环保标准。推动开展森林认证，建立木材原料溯源体系。实施品牌培育工程，打造“粤作家具”等特色品牌。践行“以竹代塑”“以竹代钢”“以竹代棉”等新发展路径，加大竹制家居、建材、生物质材料等产品创新力度，在仁化、始兴、南雄、英德、广宁、蕉岭等地布局建设初级加工小微园区、毛竹粗加工分解点。实施竹科技创新提升行动，支持建立竹产业协同创新中心、重点实验室和高新技术企业研发中心等创新载体，研发“以竹代塑+”先进制造新材料。</w:t>
      </w:r>
    </w:p>
    <w:p w14:paraId="4245D9A2">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二、推进林产化工产业升级​</w:t>
      </w:r>
    </w:p>
    <w:p w14:paraId="1E1DFD59">
      <w:pPr>
        <w:pStyle w:val="15"/>
        <w:spacing w:beforeLines="50" w:afterLines="50"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发挥肇庆、茂名、清远等松脂资源优势，建设标准化松脂采集基地，攻关松香、松节油精深加工技术，开发氢化松香、食品级松香酯、生物基表面活性剂等高端产品。依托茂名、惠州、梅州、清远、韶关特色经济林资源，推进沉香、樟树、梅片树、山苍子等原料标准化种植基地建设，打造全国重要的天然香精香料产业基地。深化林业剩余物资源化和废弃资源循环化，积极发展林业生物质燃料、油料生物质能以及生物质燃料气体。</w:t>
      </w:r>
    </w:p>
    <w:p w14:paraId="471F0252">
      <w:pPr>
        <w:pStyle w:val="16"/>
        <w:ind w:firstLine="643"/>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三、推动林下经济提质增效</w:t>
      </w:r>
    </w:p>
    <w:p w14:paraId="57CD3074">
      <w:pPr>
        <w:spacing w:line="560" w:lineRule="exact"/>
        <w:ind w:firstLine="640" w:firstLineChars="200"/>
        <w:rPr>
          <w:rFonts w:hint="default" w:ascii="Times New Roman" w:hAnsi="Times New Roman" w:cs="Times New Roman"/>
        </w:rPr>
      </w:pPr>
      <w:r>
        <w:rPr>
          <w:rFonts w:hint="default" w:ascii="Times New Roman" w:hAnsi="Times New Roman" w:eastAsia="仿宋" w:cs="Times New Roman"/>
          <w:sz w:val="32"/>
          <w:szCs w:val="32"/>
        </w:rPr>
        <w:t>围绕国家粮油安全战略，聚焦扩面提质增效，深化河源、梅州、韶关、茂名、清远、肇庆等油茶林建设管护。攻关油茶精深加工核心技术，开发茶油、茶粕衍生品等高附加值产品，做强“粤林茶油”区域公用品牌。发挥云浮、肇庆、茂名、清远、河源南药资源优势，推进南药规范化种植基地建设，培育巴戟天、肉桂、春砂仁等特色品种。聚焦林源食药物研发，攻关南药提取、炮制、制剂等核心技术，开发药品、保健品、化妆品等系列产品。培育南药产业龙头企业与专业合作组织，完善质量追溯标准，做强“粤林山珍”区域公用品牌。践行大食物观，稳步发展林菌、林菜、林药、林禽、林畜、林蜂等林下种植养殖产业，推广“珍贵树种+山苍子”“红锥+金线莲”等种植模式，培育灵芝、鸡枞菌、香菇等林下仿野生食用菌，推进魔芋、生姜、葛根、木薯等种植基地建设，培育食用菌类、竹笋、魔芋、森林蔬菜等林下产品采集业，开发功能食品等高附加值产品，完善“标准化采集—产地初加工—精深加工—副产品综合利用”全产业链条。推广林禽、林畜、林蜂、林渔及特种养殖复合模式，培育清远麻鸡、胡须鸡、中华蜜蜂、大鲵等特色品种，打造“岭南生态鸡”“岭南蜜源”等区域公用品牌。探索红树林水域发展生态友好型养殖及林缘耐盐水稻+鱼、虾共生系统。</w:t>
      </w:r>
    </w:p>
    <w:p w14:paraId="60E176DB">
      <w:pPr>
        <w:pStyle w:val="15"/>
        <w:spacing w:beforeLines="50" w:afterLines="50" w:line="560" w:lineRule="exact"/>
        <w:ind w:left="630" w:leftChars="300" w:firstLine="0" w:firstLineChars="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四、推动花卉产业高质量发展</w:t>
      </w:r>
    </w:p>
    <w:p w14:paraId="4510DAD1">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巩固提升广州、佛山、中山、揭阳花卉苗木产业领先地位。优化品种结构，重点培育特色花卉、优质苗木、盆景园艺等优势产品，建设高标准示范基地与良种繁育中心。培育壮大产业龙头企业，完善种苗培育、生产种植、包装物流、展示交易、休闲观光等全产业链条，打造全国知名的花卉苗木集散中心与产业创新高地。</w:t>
      </w:r>
    </w:p>
    <w:p w14:paraId="2E0C351D">
      <w:pPr>
        <w:pStyle w:val="15"/>
        <w:spacing w:beforeLines="50" w:afterLines="50" w:line="560" w:lineRule="exact"/>
        <w:ind w:left="630" w:leftChars="300" w:firstLine="0" w:firstLineChars="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五、培育消费应用新场景</w:t>
      </w:r>
    </w:p>
    <w:p w14:paraId="37280939">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整合全省森林、湿地、自然保护地等生态资源，深化生态旅游与岭南林业文化、民俗风情、体育产业及乡村振兴的深度融合，完善基础设施，开发生态露营、自然教育、湿地观鸟等特色业态，构建“生态+文化+体验”融合发展体系，打造跨区域精品旅游线路。盘活森林城镇、自然公园、郊野公园和山地公园等各类资源，建设康养类森林旅游景区、度假区，加强基地软硬件建设和专业人才队伍建设，认定一批森林康养目的地。重点推动环南昆山—罗浮山林文旅融合、国家公园生态旅游集聚区、横琴粤港澳大湾区康养度假基地、国有林场样板带动工程建设。择优支持林业大县实施特色产业奖补项目，发展油茶、竹子、森林药材、经济林果等“一县一业”林业特色产业，打造工程西江肉桂、连南瑶药、南雄银杏、平远梅片树等特色南药规范化种植养殖基地。建设“低空+数字”智慧林业集群，发展林业无人机智能监测、智能防火、精准造林等低空经济业态。培育一批知名龙头企业与品牌，筹办“广东省森林康养健康周”，强化“粤林康养”公共品牌宣传推广。</w:t>
      </w:r>
    </w:p>
    <w:p w14:paraId="121A7F7A">
      <w:pPr>
        <w:spacing w:beforeLines="50" w:afterLines="50" w:line="560" w:lineRule="exact"/>
        <w:jc w:val="center"/>
        <w:outlineLvl w:val="1"/>
        <w:rPr>
          <w:rFonts w:hint="default" w:ascii="Times New Roman" w:hAnsi="Times New Roman" w:eastAsia="黑体" w:cs="Times New Roman"/>
          <w:sz w:val="32"/>
          <w:szCs w:val="40"/>
        </w:rPr>
      </w:pPr>
      <w:bookmarkStart w:id="42" w:name="_Toc29472"/>
      <w:r>
        <w:rPr>
          <w:rFonts w:hint="default" w:ascii="Times New Roman" w:hAnsi="Times New Roman" w:eastAsia="黑体" w:cs="Times New Roman"/>
          <w:sz w:val="32"/>
          <w:szCs w:val="40"/>
        </w:rPr>
        <w:t>第二节 创新产业发展路径</w:t>
      </w:r>
      <w:bookmarkEnd w:id="42"/>
    </w:p>
    <w:p w14:paraId="35941A14">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一、探索林业标准地建设</w:t>
      </w:r>
    </w:p>
    <w:p w14:paraId="609E729E">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推广林地经营权集中收储机制，实施“确股确权到户+村集体统筹经营”模式，整合碎片化林地资源，统一完善路、水、电、房等基础设施配套，建设标准化种植基地，打造社会资本可“拎包入住”的标准化产业发展载体。在河源</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茂名等地</w:t>
      </w:r>
      <w:r>
        <w:rPr>
          <w:rFonts w:hint="default" w:ascii="Times New Roman" w:hAnsi="Times New Roman" w:eastAsia="仿宋" w:cs="Times New Roman"/>
          <w:sz w:val="32"/>
          <w:szCs w:val="32"/>
        </w:rPr>
        <w:t>先行探索建设林业标准地，引导林业龙头企业开展集约化、规模化运营，推行“统一品种、统一技术、统一采收”的规范化经营模式。</w:t>
      </w:r>
    </w:p>
    <w:p w14:paraId="0A14C833">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二、打造“粤林+”特色品牌</w:t>
      </w:r>
    </w:p>
    <w:p w14:paraId="30444741">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以“粤林优品”区域公用品牌为核心，打造“粤林山珍”“粤林沉香”等子品牌，形成“省域公用品牌+企业品牌+明星产品”的多层级品牌体系。多渠道开展林草品牌宣传推广，提升林草品牌的知名度与认可度。新增绿色食品、农产品地理标志、森林生态标志产品认证50个以上。</w:t>
      </w:r>
    </w:p>
    <w:p w14:paraId="0647F87B">
      <w:pPr>
        <w:pStyle w:val="15"/>
        <w:spacing w:beforeLines="50" w:afterLines="50" w:line="560" w:lineRule="exact"/>
        <w:ind w:firstLine="643" w:firstLineChars="200"/>
        <w:outlineLvl w:val="9"/>
        <w:rPr>
          <w:rFonts w:hint="default" w:ascii="Times New Roman" w:hAnsi="Times New Roman" w:eastAsia="仿宋" w:cs="Times New Roman"/>
          <w:b/>
          <w:bCs/>
          <w:sz w:val="32"/>
          <w:szCs w:val="40"/>
        </w:rPr>
      </w:pPr>
    </w:p>
    <w:p w14:paraId="3C2B60B1">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三、培育多元化林业经营主体</w:t>
      </w:r>
    </w:p>
    <w:p w14:paraId="135C499D">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推广“公司+合作社+基地+农户”“公司+基地+农户”等合作模式，培育壮大林业龙头企业、链主企业。借助“补改投”等政策，引入国有大型企业参股投资开发林业特色产业，引导国有林场、农村集体经济组织和农户开展深度联合经营，推动林业重点县科学布局县镇村多级强镇强村公司。到2030年，培育林下经济类国家林业重点龙头企业20家以上、省级林业重点龙头企业65家以上。</w:t>
      </w:r>
    </w:p>
    <w:p w14:paraId="1C3F00A3">
      <w:pPr>
        <w:spacing w:beforeLines="50" w:afterLines="50" w:line="560" w:lineRule="exact"/>
        <w:jc w:val="center"/>
        <w:outlineLvl w:val="1"/>
        <w:rPr>
          <w:rFonts w:hint="default" w:ascii="Times New Roman" w:hAnsi="Times New Roman" w:eastAsia="黑体" w:cs="Times New Roman"/>
          <w:sz w:val="32"/>
          <w:szCs w:val="40"/>
        </w:rPr>
      </w:pPr>
      <w:bookmarkStart w:id="43" w:name="_Toc7090"/>
      <w:r>
        <w:rPr>
          <w:rFonts w:hint="default" w:ascii="Times New Roman" w:hAnsi="Times New Roman" w:eastAsia="黑体" w:cs="Times New Roman"/>
          <w:sz w:val="32"/>
          <w:szCs w:val="40"/>
        </w:rPr>
        <w:t>第三节 拓展“两山”路径转化</w:t>
      </w:r>
      <w:bookmarkEnd w:id="43"/>
    </w:p>
    <w:p w14:paraId="4B65CF66">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一、丰富生态产品供给类型</w:t>
      </w:r>
    </w:p>
    <w:p w14:paraId="5301554E">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积极发展生态林业、林业碳汇、“湿地+”等多元化生态产业，扩大优质林产品、负氧离子、自然体验等多样化生态产品供给。聚焦森林、湿地与碳汇金融、数字科技、自然教育等领域跨界融合，推进“技术革新+业态融合+场景示范”，创新发展低空观光、AI健康管理+森林疗愈、自然教育、森林运动等新消费场景。</w:t>
      </w:r>
    </w:p>
    <w:p w14:paraId="2A56517F">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二、健全生态产品价值实现机制</w:t>
      </w:r>
    </w:p>
    <w:p w14:paraId="6D7ECDAD">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推动生态产品价值量化，完善生态产品总值（GEP）核算评估体系与统计制度，健全GEP核算结果运用激励约束机制，为生态保护补偿、经营开发融资、生态资源权益交易提供支撑。推动建立覆盖森林、湿地、红树林等</w:t>
      </w:r>
      <w:r>
        <w:rPr>
          <w:rFonts w:hint="default" w:ascii="Times New Roman" w:hAnsi="Times New Roman" w:eastAsia="仿宋" w:cs="Times New Roman"/>
          <w:sz w:val="32"/>
          <w:szCs w:val="32"/>
          <w:lang w:eastAsia="zh-CN"/>
        </w:rPr>
        <w:t>生态系统碳汇</w:t>
      </w:r>
      <w:r>
        <w:rPr>
          <w:rFonts w:hint="default" w:ascii="Times New Roman" w:hAnsi="Times New Roman" w:eastAsia="仿宋" w:cs="Times New Roman"/>
          <w:sz w:val="32"/>
          <w:szCs w:val="32"/>
        </w:rPr>
        <w:t>调查评估与成效监测研究网络，探索应用激光雷达、光谱分析等技术创新高精度碳汇评估方法，开发本地化碳汇计量模型与参数库。探索建立林业“林票”“绿票”制度与交易运行机制，引导地方企业、社会资本参与林业碳汇项目开发，创新“碳汇+生态补偿</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碳汇+金融”等多元化交易模式，推动林业碳汇、红树林蓝碳等资产标准化挂牌交易。</w:t>
      </w:r>
    </w:p>
    <w:p w14:paraId="1D01D333">
      <w:pPr>
        <w:spacing w:line="560" w:lineRule="exact"/>
        <w:rPr>
          <w:rFonts w:hint="default" w:ascii="Times New Roman" w:hAnsi="Times New Roman" w:eastAsia="仿宋" w:cs="Times New Roman"/>
          <w:sz w:val="32"/>
          <w:szCs w:val="32"/>
        </w:rPr>
      </w:pPr>
    </w:p>
    <w:p w14:paraId="65633D53">
      <w:pPr>
        <w:spacing w:beforeLines="50" w:afterLines="50" w:line="560" w:lineRule="exact"/>
        <w:jc w:val="center"/>
        <w:outlineLvl w:val="0"/>
        <w:rPr>
          <w:rFonts w:hint="default" w:ascii="Times New Roman" w:hAnsi="Times New Roman" w:eastAsia="黑体" w:cs="Times New Roman"/>
          <w:b/>
          <w:bCs/>
          <w:sz w:val="32"/>
          <w:szCs w:val="40"/>
        </w:rPr>
        <w:sectPr>
          <w:pgSz w:w="11906" w:h="16838"/>
          <w:pgMar w:top="1440" w:right="1800" w:bottom="1440" w:left="1800" w:header="851" w:footer="992" w:gutter="0"/>
          <w:cols w:space="720" w:num="1"/>
          <w:docGrid w:type="lines" w:linePitch="312" w:charSpace="0"/>
        </w:sectPr>
      </w:pPr>
    </w:p>
    <w:bookmarkEnd w:id="19"/>
    <w:p w14:paraId="37836D2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0"/>
        <w:rPr>
          <w:rFonts w:hint="default" w:ascii="Times New Roman" w:hAnsi="Times New Roman" w:eastAsia="黑体" w:cs="Times New Roman"/>
          <w:b/>
          <w:bCs/>
          <w:color w:val="auto"/>
          <w:sz w:val="32"/>
          <w:szCs w:val="40"/>
          <w:highlight w:val="none"/>
          <w:lang w:val="en-US" w:eastAsia="zh-CN"/>
        </w:rPr>
      </w:pPr>
      <w:bookmarkStart w:id="44" w:name="_Toc20035"/>
      <w:bookmarkStart w:id="45" w:name="_Toc30108"/>
      <w:bookmarkStart w:id="46" w:name="_Toc14887"/>
      <w:r>
        <w:rPr>
          <w:rFonts w:hint="default" w:ascii="Times New Roman" w:hAnsi="Times New Roman" w:eastAsia="黑体" w:cs="Times New Roman"/>
          <w:b/>
          <w:bCs/>
          <w:color w:val="auto"/>
          <w:sz w:val="32"/>
          <w:szCs w:val="40"/>
          <w:highlight w:val="none"/>
          <w:lang w:val="en-US" w:eastAsia="zh-CN"/>
        </w:rPr>
        <w:t>第六章 健全林业现代化治理体系，</w:t>
      </w:r>
      <w:bookmarkEnd w:id="44"/>
      <w:r>
        <w:rPr>
          <w:rFonts w:hint="default" w:ascii="Times New Roman" w:hAnsi="Times New Roman" w:eastAsia="黑体" w:cs="Times New Roman"/>
          <w:b/>
          <w:bCs/>
          <w:color w:val="auto"/>
          <w:sz w:val="32"/>
          <w:szCs w:val="40"/>
          <w:highlight w:val="none"/>
          <w:lang w:val="en-US" w:eastAsia="zh-CN"/>
        </w:rPr>
        <w:t>筑牢林业保护发展根基</w:t>
      </w:r>
      <w:bookmarkEnd w:id="45"/>
    </w:p>
    <w:p w14:paraId="3764A6DE">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47" w:name="_Toc10062"/>
      <w:bookmarkStart w:id="48" w:name="_Toc13225"/>
      <w:r>
        <w:rPr>
          <w:rFonts w:hint="default" w:ascii="Times New Roman" w:hAnsi="Times New Roman" w:eastAsia="黑体" w:cs="Times New Roman"/>
          <w:b w:val="0"/>
          <w:bCs w:val="0"/>
          <w:color w:val="auto"/>
          <w:sz w:val="32"/>
          <w:szCs w:val="40"/>
          <w:highlight w:val="none"/>
          <w:lang w:val="en-US" w:eastAsia="zh-CN"/>
        </w:rPr>
        <w:t>第一节 加大林地林木管护力度</w:t>
      </w:r>
      <w:bookmarkEnd w:id="47"/>
      <w:bookmarkEnd w:id="48"/>
    </w:p>
    <w:p w14:paraId="4D6218DF">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一、科学开展林草湿调查监测</w:t>
      </w:r>
    </w:p>
    <w:p w14:paraId="16FAC8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协同开展年度林草湿荒荒漠化调查监测与国土变更调查工作，按照“统一标准、统一时点、统一平台”的要求，统筹推进两项调查任务的衔接融合，有效整合技术流程、数据成果和管理机制，形成覆盖全域、现势性强、精度一致的自然资源现状“一张图”，加强监测成果应用，推动数据共享与业务协同，实现“大家查、大家用”。</w:t>
      </w:r>
    </w:p>
    <w:p w14:paraId="4D144033">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二、严格林地林木利用管控</w:t>
      </w:r>
    </w:p>
    <w:p w14:paraId="4E8399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加强森林资源管护与国土空间协同治理，优化林地管控边界与国土空间功能布局，强化“一张图”协同监管。开展森林资源专项调查，查清全省森林资源现状。科学制定国土绿化空间规划，落实林地保护利用各项目标任务。强化林地用途管制，严格规范建设项目使用林地管理，严厉打击擅自改变林地用途行为。强化林地定额调控，严格执行使用林地总量控制，合理分配使用林地定额，征占用林地定额控制在年均16.75万亩以内。加强林地保护，确保林地资源安全，建立健全使用林地总量控制、规划林地资源动态平衡机制。</w:t>
      </w:r>
    </w:p>
    <w:p w14:paraId="38AA6CAF">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三、统筹耕林空间治理</w:t>
      </w:r>
    </w:p>
    <w:p w14:paraId="12084CA0">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在国土空间规划“一张图”框架下，统筹全省耕地保护与国土绿化空间布局。遵循“宜林则林、宜耕则耕”的原则，分类处置耕地与林地之间的空间矛盾，科学划定耕地保护与国土绿化空间，编制并实施相关专项规划，确保到2030年全省森林覆盖率不低于55.5%。同时，建立以规划为引领的林地保护制度，通过科学保护、系统治理和合理利用，推动生态系统优化、筑牢生态安全屏障、壮大林业产业，为“十五五”时期林业实现高水平保护与高质量发展提供更加坚实的支撑。</w:t>
      </w:r>
    </w:p>
    <w:p w14:paraId="04B9893B">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四、加强古树名木保护</w:t>
      </w:r>
    </w:p>
    <w:p w14:paraId="6049D0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加强古树名木管护巡查，严厉打击破坏古树名木和违法迁移古树等行为，严格保护古树名木及其自然生境，科学开展古树名木抢救复壮。结合本地古树名木资源状况，做好古树名木风险评估防范与应急管理相关工作。完善古树名木认定、移植、死亡注销有关程序，健全事前、事中、事后监管制度。明确古树名木保护主体，落实监管、管护责任。启动全国第三次古树名木资源普查，加强广东省古树名木信息管理系统建设和数据治理。大力推进古树公园和绿美古树乡村建设，弘扬传承古树名木历史文化。</w:t>
      </w:r>
    </w:p>
    <w:p w14:paraId="172F3EBB">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49" w:name="_Toc23037"/>
      <w:bookmarkStart w:id="50" w:name="_Toc530"/>
      <w:r>
        <w:rPr>
          <w:rFonts w:hint="default" w:ascii="Times New Roman" w:hAnsi="Times New Roman" w:eastAsia="黑体" w:cs="Times New Roman"/>
          <w:b w:val="0"/>
          <w:bCs w:val="0"/>
          <w:color w:val="auto"/>
          <w:sz w:val="32"/>
          <w:szCs w:val="40"/>
          <w:highlight w:val="none"/>
          <w:lang w:val="en-US" w:eastAsia="zh-CN"/>
        </w:rPr>
        <w:t>第二节 加强林草种质资源保护利用</w:t>
      </w:r>
      <w:bookmarkEnd w:id="49"/>
      <w:bookmarkEnd w:id="50"/>
    </w:p>
    <w:p w14:paraId="69114AFE">
      <w:pPr>
        <w:pStyle w:val="15"/>
        <w:spacing w:before="157" w:beforeLines="50" w:after="157" w:afterLines="50" w:line="560" w:lineRule="exact"/>
        <w:ind w:firstLine="643" w:firstLineChars="200"/>
        <w:outlineLvl w:val="2"/>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40"/>
          <w:highlight w:val="none"/>
        </w:rPr>
        <w:t>一、林草种质资源调查收集和保护利用</w:t>
      </w:r>
    </w:p>
    <w:p w14:paraId="2E475DD7">
      <w:pPr>
        <w:spacing w:line="560" w:lineRule="exact"/>
        <w:ind w:firstLine="640" w:firstLineChars="200"/>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lang w:val="en-US" w:eastAsia="zh-CN"/>
        </w:rPr>
        <w:t>推进</w:t>
      </w:r>
      <w:r>
        <w:rPr>
          <w:rFonts w:hint="default" w:ascii="Times New Roman" w:hAnsi="Times New Roman" w:eastAsia="仿宋" w:cs="Times New Roman"/>
          <w:color w:val="auto"/>
          <w:sz w:val="32"/>
          <w:szCs w:val="32"/>
          <w:highlight w:val="none"/>
        </w:rPr>
        <w:t>林草种质资源调查收集</w:t>
      </w:r>
      <w:r>
        <w:rPr>
          <w:rFonts w:hint="default" w:ascii="Times New Roman" w:hAnsi="Times New Roman" w:eastAsia="仿宋" w:cs="Times New Roman"/>
          <w:color w:val="auto"/>
          <w:sz w:val="32"/>
          <w:szCs w:val="32"/>
          <w:highlight w:val="none"/>
          <w:lang w:val="en-US" w:eastAsia="zh-CN"/>
        </w:rPr>
        <w:t>工作，</w:t>
      </w:r>
      <w:r>
        <w:rPr>
          <w:rFonts w:hint="default" w:ascii="Times New Roman" w:hAnsi="Times New Roman" w:eastAsia="仿宋" w:cs="Times New Roman"/>
          <w:color w:val="auto"/>
          <w:sz w:val="32"/>
          <w:szCs w:val="32"/>
          <w:highlight w:val="none"/>
        </w:rPr>
        <w:t>开展粤北南岭</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粤东西沿海地区</w:t>
      </w:r>
      <w:r>
        <w:rPr>
          <w:rFonts w:hint="default" w:ascii="Times New Roman" w:hAnsi="Times New Roman" w:eastAsia="仿宋" w:cs="Times New Roman"/>
          <w:color w:val="auto"/>
          <w:sz w:val="32"/>
          <w:szCs w:val="32"/>
          <w:highlight w:val="none"/>
          <w:lang w:val="en-US" w:eastAsia="zh-CN"/>
        </w:rPr>
        <w:t>及</w:t>
      </w:r>
      <w:r>
        <w:rPr>
          <w:rFonts w:hint="default" w:ascii="Times New Roman" w:hAnsi="Times New Roman" w:eastAsia="仿宋" w:cs="Times New Roman"/>
          <w:color w:val="auto"/>
          <w:sz w:val="32"/>
          <w:szCs w:val="32"/>
          <w:highlight w:val="none"/>
        </w:rPr>
        <w:t>50个具有发展潜力树种和草种种质资源补充调查。</w:t>
      </w:r>
      <w:r>
        <w:rPr>
          <w:rFonts w:hint="default" w:ascii="Times New Roman" w:hAnsi="Times New Roman" w:eastAsia="仿宋" w:cs="Times New Roman"/>
          <w:color w:val="auto"/>
          <w:sz w:val="32"/>
          <w:szCs w:val="32"/>
          <w:highlight w:val="none"/>
          <w:lang w:val="en-US" w:eastAsia="zh-CN"/>
        </w:rPr>
        <w:t>强化</w:t>
      </w:r>
      <w:r>
        <w:rPr>
          <w:rFonts w:hint="default" w:ascii="Times New Roman" w:hAnsi="Times New Roman" w:eastAsia="仿宋" w:cs="Times New Roman"/>
          <w:color w:val="auto"/>
          <w:sz w:val="32"/>
          <w:szCs w:val="32"/>
          <w:highlight w:val="none"/>
        </w:rPr>
        <w:t>种质资源鉴定评价和良种选育</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对</w:t>
      </w:r>
      <w:r>
        <w:rPr>
          <w:rFonts w:hint="default" w:ascii="Times New Roman" w:hAnsi="Times New Roman" w:eastAsia="仿宋" w:cs="Times New Roman"/>
          <w:color w:val="auto"/>
          <w:sz w:val="32"/>
          <w:szCs w:val="32"/>
          <w:highlight w:val="none"/>
        </w:rPr>
        <w:t>现有收集保存的1000份主要林草种质资源每年开展重要性状鉴定、评价</w:t>
      </w:r>
      <w:r>
        <w:rPr>
          <w:rFonts w:hint="default" w:ascii="Times New Roman" w:hAnsi="Times New Roman" w:eastAsia="仿宋" w:cs="Times New Roman"/>
          <w:color w:val="auto"/>
          <w:sz w:val="32"/>
          <w:szCs w:val="32"/>
          <w:highlight w:val="none"/>
          <w:lang w:val="en-US" w:eastAsia="zh-CN"/>
        </w:rPr>
        <w:t>及</w:t>
      </w:r>
      <w:r>
        <w:rPr>
          <w:rFonts w:hint="default" w:ascii="Times New Roman" w:hAnsi="Times New Roman" w:eastAsia="仿宋" w:cs="Times New Roman"/>
          <w:color w:val="auto"/>
          <w:sz w:val="32"/>
          <w:szCs w:val="32"/>
          <w:highlight w:val="none"/>
        </w:rPr>
        <w:t>重要基因发掘等工作</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持续开展</w:t>
      </w:r>
      <w:r>
        <w:rPr>
          <w:rFonts w:hint="default" w:ascii="Times New Roman" w:hAnsi="Times New Roman" w:eastAsia="仿宋" w:cs="Times New Roman"/>
          <w:color w:val="auto"/>
          <w:sz w:val="32"/>
          <w:szCs w:val="32"/>
          <w:highlight w:val="none"/>
          <w:lang w:val="en-US" w:eastAsia="zh-CN"/>
        </w:rPr>
        <w:t>各类树种及草种良种选育，</w:t>
      </w:r>
      <w:r>
        <w:rPr>
          <w:rFonts w:hint="default" w:ascii="Times New Roman" w:hAnsi="Times New Roman" w:eastAsia="仿宋" w:cs="Times New Roman"/>
          <w:color w:val="auto"/>
          <w:sz w:val="32"/>
          <w:szCs w:val="32"/>
          <w:highlight w:val="none"/>
        </w:rPr>
        <w:t>审（认）定100个以上适合我省不同立地条件的速生、优质、高产、高抗林木良种，着力提高我省良种使用率和森林质量。</w:t>
      </w:r>
    </w:p>
    <w:p w14:paraId="70C83DCA">
      <w:pPr>
        <w:pStyle w:val="15"/>
        <w:spacing w:before="157" w:beforeLines="50" w:after="157" w:afterLines="50" w:line="560" w:lineRule="exact"/>
        <w:ind w:firstLine="643" w:firstLineChars="200"/>
        <w:outlineLvl w:val="2"/>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bCs/>
          <w:color w:val="auto"/>
          <w:sz w:val="32"/>
          <w:szCs w:val="40"/>
          <w:highlight w:val="none"/>
        </w:rPr>
        <w:t>二、种苗基地建设管理</w:t>
      </w:r>
    </w:p>
    <w:p w14:paraId="4818BB0C">
      <w:pPr>
        <w:spacing w:line="560" w:lineRule="exact"/>
        <w:ind w:firstLine="640" w:firstLineChars="200"/>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推进</w:t>
      </w:r>
      <w:r>
        <w:rPr>
          <w:rFonts w:hint="default" w:ascii="Times New Roman" w:hAnsi="Times New Roman" w:eastAsia="仿宋" w:cs="Times New Roman"/>
          <w:color w:val="auto"/>
          <w:sz w:val="32"/>
          <w:szCs w:val="32"/>
          <w:highlight w:val="none"/>
        </w:rPr>
        <w:t>林草种质资源库建设</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在河源、广州建国家林木种质资源库，在韶关、梅州、茂名、肇庆建林木种质资源库；加强现有种质资源库抚育管护。强化</w:t>
      </w:r>
      <w:r>
        <w:rPr>
          <w:rFonts w:hint="default" w:ascii="Times New Roman" w:hAnsi="Times New Roman" w:eastAsia="仿宋" w:cs="Times New Roman"/>
          <w:color w:val="auto"/>
          <w:sz w:val="32"/>
          <w:szCs w:val="32"/>
          <w:highlight w:val="none"/>
        </w:rPr>
        <w:t>林木良种基地建设</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加强9处国家级、5处省级重点林木良种基地管理，提升乡土阔叶、珍贵用材树种良种种子和苗木产能。开展</w:t>
      </w:r>
      <w:r>
        <w:rPr>
          <w:rFonts w:hint="default" w:ascii="Times New Roman" w:hAnsi="Times New Roman" w:eastAsia="仿宋" w:cs="Times New Roman"/>
          <w:color w:val="auto"/>
          <w:sz w:val="32"/>
          <w:szCs w:val="32"/>
          <w:highlight w:val="none"/>
        </w:rPr>
        <w:t>林木采种基地建设</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在阳江、清远、揭阳等优良种源区，新建红锥、吊皮锥、任豆、大头茶等急需树种采种基地，对该部分林分改造为母树林；完善现有采种基地基础设施建设，年供应种子能力达到1万公斤以上。推进</w:t>
      </w:r>
      <w:r>
        <w:rPr>
          <w:rFonts w:hint="default" w:ascii="Times New Roman" w:hAnsi="Times New Roman" w:eastAsia="仿宋" w:cs="Times New Roman"/>
          <w:color w:val="auto"/>
          <w:sz w:val="32"/>
          <w:szCs w:val="32"/>
          <w:highlight w:val="none"/>
        </w:rPr>
        <w:t>省级保障性苗圃建设</w:t>
      </w:r>
      <w:r>
        <w:rPr>
          <w:rFonts w:hint="default" w:ascii="Times New Roman" w:hAnsi="Times New Roman" w:eastAsia="仿宋" w:cs="Times New Roman"/>
          <w:color w:val="auto"/>
          <w:sz w:val="32"/>
          <w:szCs w:val="32"/>
          <w:highlight w:val="none"/>
          <w:lang w:eastAsia="zh-CN"/>
        </w:rPr>
        <w:t>，</w:t>
      </w:r>
      <w:bookmarkStart w:id="51" w:name="_Toc10615"/>
      <w:r>
        <w:rPr>
          <w:rFonts w:hint="default" w:ascii="Times New Roman" w:hAnsi="Times New Roman" w:eastAsia="仿宋" w:cs="Times New Roman"/>
          <w:color w:val="auto"/>
          <w:sz w:val="32"/>
          <w:szCs w:val="32"/>
          <w:highlight w:val="none"/>
          <w:lang w:val="en-US" w:eastAsia="zh-CN"/>
        </w:rPr>
        <w:t>在韶关、茂名、阳江新建乡土树种繁育基地，完善提升现有省级保障性苗圃，供应乡土阔叶、珍贵用材等树种苗木1亿株/年。</w:t>
      </w:r>
    </w:p>
    <w:p w14:paraId="07FA32C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52" w:name="_Toc31060"/>
      <w:r>
        <w:rPr>
          <w:rFonts w:hint="default" w:ascii="Times New Roman" w:hAnsi="Times New Roman" w:eastAsia="黑体" w:cs="Times New Roman"/>
          <w:b w:val="0"/>
          <w:bCs w:val="0"/>
          <w:color w:val="auto"/>
          <w:sz w:val="32"/>
          <w:szCs w:val="40"/>
          <w:highlight w:val="none"/>
          <w:lang w:val="en-US" w:eastAsia="zh-CN"/>
        </w:rPr>
        <w:t>第三节 提升森林火灾防控能力</w:t>
      </w:r>
      <w:bookmarkEnd w:id="51"/>
      <w:bookmarkEnd w:id="52"/>
    </w:p>
    <w:p w14:paraId="6B09BF2E">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一、强化火灾预警监测能力</w:t>
      </w:r>
    </w:p>
    <w:p w14:paraId="3D303B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2"/>
          <w:sz w:val="32"/>
          <w:szCs w:val="32"/>
          <w:highlight w:val="none"/>
          <w:lang w:val="en-US" w:eastAsia="zh-CN"/>
        </w:rPr>
      </w:pPr>
      <w:r>
        <w:rPr>
          <w:rFonts w:hint="default" w:ascii="Times New Roman" w:hAnsi="Times New Roman" w:eastAsia="仿宋" w:cs="Times New Roman"/>
          <w:color w:val="auto"/>
          <w:kern w:val="2"/>
          <w:sz w:val="32"/>
          <w:szCs w:val="32"/>
          <w:highlight w:val="none"/>
          <w:lang w:val="en-US" w:eastAsia="zh-CN"/>
        </w:rPr>
        <w:t>构建现代化林火智能监测预警体系，对全省现有的1490套老旧林火视频监控设备进行全面升级。在监控盲区和高风险区域，新建智能前端监控点。全省重点林区、国家公园、自然保护区、城市面山等关键区域的视频监控覆盖率不低于90%。构建全省统一的视频数据共享与指挥调度专网，实现“全省一盘棋”的协同指挥。建设快速响应的无人机巡护矩阵，差异化部署轻型侦察无人机与重载侦打一体无人机。实现常态化自动巡护、火情应急精准侦察、火情早期处理和辅助救援的全链条覆盖，推进森林火灾重大隐患动态清零。</w:t>
      </w:r>
    </w:p>
    <w:p w14:paraId="4ED2F23B">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二、加强森林防火设施建设</w:t>
      </w:r>
    </w:p>
    <w:p w14:paraId="2B38B149">
      <w:pPr>
        <w:pStyle w:val="15"/>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outlineLvl w:val="9"/>
        <w:rPr>
          <w:rFonts w:hint="default" w:ascii="Times New Roman" w:hAnsi="Times New Roman" w:cs="Times New Roman"/>
          <w:lang w:val="en-US" w:eastAsia="zh-CN"/>
        </w:rPr>
      </w:pPr>
      <w:r>
        <w:rPr>
          <w:rFonts w:hint="default" w:ascii="Times New Roman" w:hAnsi="Times New Roman" w:eastAsia="仿宋" w:cs="Times New Roman"/>
          <w:color w:val="auto"/>
          <w:kern w:val="2"/>
          <w:sz w:val="32"/>
          <w:szCs w:val="32"/>
          <w:highlight w:val="none"/>
          <w:lang w:val="en-US" w:eastAsia="zh-CN"/>
        </w:rPr>
        <w:t>完善林火阻隔系统布局，推进生态防火林带建设。优化防火道路网络，构建布局合理、结构完整的林区防火道路系统，提升路网密度与连通性。新建和修复林火阻隔系统，重点林区林火阻隔网密度不低于7.1米/公顷。强化以水灭火设施为基础，积极探索“引水上山”新模式。建设多元化、沉浸式防火宣教基础设施，强化公众避险自救能力。</w:t>
      </w:r>
    </w:p>
    <w:p w14:paraId="54E543AB">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三、提升火险早期处置能力</w:t>
      </w:r>
    </w:p>
    <w:p w14:paraId="43BFDEC5">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rPr>
          <w:rFonts w:hint="default" w:ascii="Times New Roman" w:hAnsi="Times New Roman" w:eastAsia="仿宋" w:cs="Times New Roman"/>
          <w:color w:val="auto"/>
          <w:kern w:val="2"/>
          <w:sz w:val="32"/>
          <w:szCs w:val="32"/>
          <w:highlight w:val="none"/>
          <w:lang w:val="en-US" w:eastAsia="zh-CN" w:bidi="ar-SA"/>
        </w:rPr>
      </w:pPr>
      <w:r>
        <w:rPr>
          <w:rFonts w:hint="default" w:ascii="Times New Roman" w:hAnsi="Times New Roman" w:eastAsia="仿宋" w:cs="Times New Roman"/>
          <w:color w:val="auto"/>
          <w:kern w:val="2"/>
          <w:sz w:val="32"/>
          <w:szCs w:val="32"/>
          <w:highlight w:val="none"/>
          <w:lang w:val="en-US" w:eastAsia="zh-CN"/>
        </w:rPr>
        <w:t>依托有条件的国有林场和自然保护区，组建和打造一支林业系统直属的森林消防专业队伍。推进防火队伍建制标准化、资质职业化，提升个人防护装备和扑火装备标准化水平。</w:t>
      </w:r>
      <w:r>
        <w:rPr>
          <w:rFonts w:hint="default" w:ascii="Times New Roman" w:hAnsi="Times New Roman" w:eastAsia="仿宋" w:cs="Times New Roman"/>
          <w:color w:val="auto"/>
          <w:kern w:val="2"/>
          <w:sz w:val="32"/>
          <w:szCs w:val="32"/>
          <w:highlight w:val="none"/>
          <w:lang w:val="en-US" w:eastAsia="zh-CN" w:bidi="ar-SA"/>
        </w:rPr>
        <w:t>配齐300个森林防火重点乡镇的森林消防半专业队伍基础装备。推动相邻乡镇之间建立联防协议，实现“一方有火、多方支援”。推动我省专职护林员人员结构优化和待遇保障。推动队伍向精干专职化转变，鼓励各地统筹资金加大护林员队伍保障力度，实现人身意外伤害保险全覆盖。</w:t>
      </w:r>
    </w:p>
    <w:p w14:paraId="7F9C9CDD">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rPr>
          <w:rFonts w:hint="default" w:ascii="Times New Roman" w:hAnsi="Times New Roman" w:eastAsia="仿宋" w:cs="Times New Roman"/>
          <w:color w:val="auto"/>
          <w:kern w:val="2"/>
          <w:sz w:val="32"/>
          <w:szCs w:val="32"/>
          <w:highlight w:val="none"/>
          <w:lang w:val="en-US" w:eastAsia="zh-CN" w:bidi="ar-SA"/>
        </w:rPr>
      </w:pPr>
    </w:p>
    <w:p w14:paraId="2CEE3213">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rPr>
          <w:rFonts w:hint="default" w:ascii="Times New Roman" w:hAnsi="Times New Roman" w:eastAsia="仿宋" w:cs="Times New Roman"/>
          <w:color w:val="auto"/>
          <w:kern w:val="2"/>
          <w:sz w:val="32"/>
          <w:szCs w:val="32"/>
          <w:highlight w:val="none"/>
          <w:lang w:val="en-US" w:eastAsia="zh-CN" w:bidi="ar-SA"/>
        </w:rPr>
      </w:pPr>
    </w:p>
    <w:p w14:paraId="7552AA58">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53" w:name="_Toc20006"/>
      <w:bookmarkStart w:id="54" w:name="_Toc27242"/>
      <w:bookmarkStart w:id="55" w:name="_Toc14219"/>
      <w:bookmarkStart w:id="56" w:name="OLE_LINK15"/>
      <w:r>
        <w:rPr>
          <w:rFonts w:hint="default" w:ascii="Times New Roman" w:hAnsi="Times New Roman" w:eastAsia="黑体" w:cs="Times New Roman"/>
          <w:b w:val="0"/>
          <w:bCs w:val="0"/>
          <w:color w:val="auto"/>
          <w:sz w:val="32"/>
          <w:szCs w:val="40"/>
          <w:highlight w:val="none"/>
          <w:lang w:val="en-US" w:eastAsia="zh-CN"/>
        </w:rPr>
        <w:t>第四节 强化重大林业有害生物</w:t>
      </w:r>
      <w:bookmarkEnd w:id="53"/>
      <w:bookmarkEnd w:id="54"/>
      <w:r>
        <w:rPr>
          <w:rFonts w:hint="default" w:ascii="Times New Roman" w:hAnsi="Times New Roman" w:eastAsia="黑体" w:cs="Times New Roman"/>
          <w:b w:val="0"/>
          <w:bCs w:val="0"/>
          <w:color w:val="auto"/>
          <w:sz w:val="32"/>
          <w:szCs w:val="40"/>
          <w:highlight w:val="none"/>
          <w:lang w:val="en-US" w:eastAsia="zh-CN"/>
        </w:rPr>
        <w:t>防控</w:t>
      </w:r>
      <w:bookmarkEnd w:id="55"/>
    </w:p>
    <w:p w14:paraId="3BCCF7B8">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一、强化有害生物综合治理</w:t>
      </w:r>
    </w:p>
    <w:p w14:paraId="1CD1D0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lang w:val="en-US" w:eastAsia="zh-CN"/>
        </w:rPr>
        <w:t>开展松材线虫病、薇甘菊、红火蚁、互花米草等重大林业有害生物综合治理，</w:t>
      </w:r>
      <w:r>
        <w:rPr>
          <w:rFonts w:hint="default" w:ascii="Times New Roman" w:hAnsi="Times New Roman" w:eastAsia="仿宋" w:cs="Times New Roman"/>
          <w:b w:val="0"/>
          <w:bCs w:val="0"/>
          <w:color w:val="auto"/>
          <w:sz w:val="32"/>
          <w:szCs w:val="32"/>
          <w:highlight w:val="none"/>
          <w:lang w:val="en-US" w:eastAsia="zh-CN"/>
        </w:rPr>
        <w:t>实施松材线虫病等监测普查面积不低于4000万亩；实施松材线虫病综合治理350万亩、预防阻截100万亩；实施薇甘菊、互花米草、红火蚁等外来入侵物种除治60万亩。</w:t>
      </w:r>
      <w:r>
        <w:rPr>
          <w:rFonts w:hint="default" w:ascii="Times New Roman" w:hAnsi="Times New Roman" w:eastAsia="仿宋" w:cs="Times New Roman"/>
          <w:b w:val="0"/>
          <w:bCs w:val="0"/>
          <w:color w:val="auto"/>
          <w:sz w:val="32"/>
          <w:szCs w:val="32"/>
          <w:lang w:val="en-US" w:eastAsia="zh-CN"/>
        </w:rPr>
        <w:t>防范化解其他林业生物灾害风险，主要林业有害生物成灾率控制在国家规定的指标以内。</w:t>
      </w:r>
    </w:p>
    <w:p w14:paraId="3610DB8D">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二、提升林业有害生物防控能力</w:t>
      </w:r>
    </w:p>
    <w:p w14:paraId="171FA5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val="0"/>
          <w:bCs w:val="0"/>
          <w:color w:val="auto"/>
          <w:sz w:val="32"/>
          <w:szCs w:val="32"/>
          <w:lang w:val="en-US" w:eastAsia="zh-CN"/>
        </w:rPr>
        <w:t>加快完善林业有害生物政策协同体系和防控监管机制，开展林业有害生物应急物资储备，</w:t>
      </w:r>
      <w:r>
        <w:rPr>
          <w:rFonts w:hint="default" w:ascii="Times New Roman" w:hAnsi="Times New Roman" w:eastAsia="仿宋" w:cs="Times New Roman"/>
          <w:b w:val="0"/>
          <w:bCs w:val="0"/>
          <w:color w:val="auto"/>
          <w:sz w:val="32"/>
          <w:szCs w:val="32"/>
        </w:rPr>
        <w:t>强化国家级中心测报点管理</w:t>
      </w:r>
      <w:r>
        <w:rPr>
          <w:rFonts w:hint="default" w:ascii="Times New Roman" w:hAnsi="Times New Roman" w:eastAsia="仿宋" w:cs="Times New Roman"/>
          <w:b w:val="0"/>
          <w:bCs w:val="0"/>
          <w:color w:val="auto"/>
          <w:sz w:val="32"/>
          <w:szCs w:val="32"/>
          <w:lang w:val="en-US" w:eastAsia="zh-CN"/>
        </w:rPr>
        <w:t>，推进低空+林业有害生物防治。加强林业领域外来入侵物种普查成果应用，完善</w:t>
      </w:r>
      <w:r>
        <w:rPr>
          <w:rFonts w:hint="default" w:ascii="Times New Roman" w:hAnsi="Times New Roman" w:eastAsia="仿宋" w:cs="Times New Roman"/>
          <w:b w:val="0"/>
          <w:bCs w:val="0"/>
          <w:color w:val="auto"/>
          <w:sz w:val="32"/>
          <w:szCs w:val="32"/>
        </w:rPr>
        <w:t>监测</w:t>
      </w:r>
      <w:r>
        <w:rPr>
          <w:rFonts w:hint="default" w:ascii="Times New Roman" w:hAnsi="Times New Roman" w:eastAsia="仿宋" w:cs="Times New Roman"/>
          <w:b w:val="0"/>
          <w:bCs w:val="0"/>
          <w:color w:val="auto"/>
          <w:sz w:val="32"/>
          <w:szCs w:val="32"/>
          <w:lang w:val="en-US" w:eastAsia="zh-CN"/>
        </w:rPr>
        <w:t>预警网络，持续开展监测与影响评估，建立完善风险防控名录，探索基础研究、应用研究和试验示范的衔接贯通，总结提炼成本低、效果好、无公害防治技术措施，促进绿色防治和森林健康。</w:t>
      </w:r>
    </w:p>
    <w:bookmarkEnd w:id="56"/>
    <w:p w14:paraId="31B68B2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57" w:name="_Toc28323"/>
      <w:bookmarkStart w:id="58" w:name="_Toc27094"/>
      <w:bookmarkStart w:id="59" w:name="_Toc2486"/>
      <w:r>
        <w:rPr>
          <w:rFonts w:hint="default" w:ascii="Times New Roman" w:hAnsi="Times New Roman" w:eastAsia="黑体" w:cs="Times New Roman"/>
          <w:b w:val="0"/>
          <w:bCs w:val="0"/>
          <w:color w:val="auto"/>
          <w:sz w:val="32"/>
          <w:szCs w:val="40"/>
          <w:highlight w:val="none"/>
          <w:lang w:val="en-US" w:eastAsia="zh-CN"/>
        </w:rPr>
        <w:t>第五节 加强林区基础设施建设</w:t>
      </w:r>
      <w:bookmarkEnd w:id="57"/>
      <w:bookmarkEnd w:id="58"/>
      <w:bookmarkEnd w:id="59"/>
    </w:p>
    <w:p w14:paraId="029BDC2B">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一、推进林区“四通”基础设施升级</w:t>
      </w:r>
    </w:p>
    <w:p w14:paraId="321CA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实施国有林场的管护站点、自然保护地及重点林区“通路、通水、通电、通网”全覆盖工程，提升林区物资运输与应急通行能力，配套完善供水设施，推进偏远林区微电网和通信基础设施建设。新建林区公路200余公里，改造林区公路近60公里，维修养护林区公路千余公里。</w:t>
      </w:r>
    </w:p>
    <w:p w14:paraId="58838E29">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二、加强国有林场基础设施建设</w:t>
      </w:r>
    </w:p>
    <w:p w14:paraId="7B5D95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重点推进管护站点新建与提质修缮，完善监测预警、巡护值守、物资储备等功能配置，筑牢一线生态管护阵地。系统升级改造场区道路网络，提升通行保障与应急响应能力。全面整治修缮破旧经营场所和设施6万余平方米。加快智慧林场基础建设，加大无人机智能巡护的应用，推动国有林场巡护模式由传统人工向智能化、精准化转型升级，全面提升省属国有林场资源管护效率与智慧化水平。</w:t>
      </w:r>
    </w:p>
    <w:p w14:paraId="3A4E974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60" w:name="_Toc6932"/>
      <w:r>
        <w:rPr>
          <w:rFonts w:hint="default" w:ascii="Times New Roman" w:hAnsi="Times New Roman" w:eastAsia="黑体" w:cs="Times New Roman"/>
          <w:b w:val="0"/>
          <w:bCs w:val="0"/>
          <w:color w:val="auto"/>
          <w:sz w:val="32"/>
          <w:szCs w:val="40"/>
          <w:highlight w:val="none"/>
          <w:lang w:val="en-US" w:eastAsia="zh-CN"/>
        </w:rPr>
        <w:t>第六节 推进智慧林业建设</w:t>
      </w:r>
      <w:bookmarkEnd w:id="60"/>
    </w:p>
    <w:p w14:paraId="3814F0EF">
      <w:pPr>
        <w:pStyle w:val="15"/>
        <w:spacing w:before="157" w:beforeLines="50" w:after="157" w:afterLines="50" w:line="560" w:lineRule="exact"/>
        <w:ind w:firstLine="643" w:firstLineChars="200"/>
        <w:outlineLvl w:val="2"/>
        <w:rPr>
          <w:rFonts w:hint="default" w:ascii="Times New Roman" w:hAnsi="Times New Roman" w:eastAsia="仿宋" w:cs="Times New Roman"/>
          <w:b/>
          <w:bCs/>
          <w:color w:val="auto"/>
          <w:sz w:val="32"/>
          <w:szCs w:val="40"/>
          <w:highlight w:val="none"/>
          <w:u w:val="none"/>
        </w:rPr>
      </w:pPr>
      <w:r>
        <w:rPr>
          <w:rFonts w:hint="default" w:ascii="Times New Roman" w:hAnsi="Times New Roman" w:eastAsia="仿宋" w:cs="Times New Roman"/>
          <w:b/>
          <w:bCs/>
          <w:color w:val="auto"/>
          <w:sz w:val="32"/>
          <w:szCs w:val="40"/>
          <w:highlight w:val="none"/>
          <w:u w:val="none"/>
          <w:lang w:val="en-US" w:eastAsia="zh-CN"/>
        </w:rPr>
        <w:t>一</w:t>
      </w:r>
      <w:r>
        <w:rPr>
          <w:rFonts w:hint="default" w:ascii="Times New Roman" w:hAnsi="Times New Roman" w:eastAsia="仿宋" w:cs="Times New Roman"/>
          <w:b/>
          <w:bCs/>
          <w:color w:val="auto"/>
          <w:sz w:val="32"/>
          <w:szCs w:val="40"/>
          <w:highlight w:val="none"/>
          <w:u w:val="none"/>
        </w:rPr>
        <w:t>、</w:t>
      </w:r>
      <w:r>
        <w:rPr>
          <w:rFonts w:hint="default" w:ascii="Times New Roman" w:hAnsi="Times New Roman" w:eastAsia="仿宋" w:cs="Times New Roman"/>
          <w:b/>
          <w:bCs/>
          <w:color w:val="auto"/>
          <w:sz w:val="32"/>
          <w:szCs w:val="40"/>
          <w:highlight w:val="none"/>
          <w:u w:val="none"/>
          <w:lang w:val="en-US" w:eastAsia="zh-CN"/>
        </w:rPr>
        <w:t>增强</w:t>
      </w:r>
      <w:r>
        <w:rPr>
          <w:rFonts w:hint="default" w:ascii="Times New Roman" w:hAnsi="Times New Roman" w:eastAsia="仿宋" w:cs="Times New Roman"/>
          <w:b/>
          <w:bCs/>
          <w:color w:val="auto"/>
          <w:sz w:val="32"/>
          <w:szCs w:val="40"/>
          <w:highlight w:val="none"/>
          <w:u w:val="none"/>
        </w:rPr>
        <w:t>林草时空数据供给</w:t>
      </w:r>
    </w:p>
    <w:p w14:paraId="6A4C42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bCs/>
          <w:color w:val="auto"/>
          <w:sz w:val="32"/>
          <w:szCs w:val="40"/>
          <w:highlight w:val="none"/>
          <w:u w:val="none"/>
        </w:rPr>
      </w:pPr>
      <w:r>
        <w:rPr>
          <w:rFonts w:hint="default" w:ascii="Times New Roman" w:hAnsi="Times New Roman" w:eastAsia="仿宋" w:cs="Times New Roman"/>
          <w:b w:val="0"/>
          <w:bCs w:val="0"/>
          <w:color w:val="auto"/>
          <w:sz w:val="32"/>
          <w:szCs w:val="32"/>
          <w:highlight w:val="none"/>
          <w:lang w:val="en-US" w:eastAsia="zh-CN"/>
        </w:rPr>
        <w:t>深入开展重点区域生态系统的连续监测，在现有“一网感知”体系基础上，完善“空—天—地—人”一体化协同监测网络，实现对林草资源的全方位、多维度、实时动态监测，不断提升监测网络的覆盖度、精细度，丰富数据获取能力。依托数字林业中心建设，加快数据更新，加强数据治理，提升数据质效。构建林业大数据平台，建立“统一底图、统一标准、统一时点”的全省林业资源数据库，加快建设自然资源和林业“一张图”，推动实现“一张图一套数”数据融合。</w:t>
      </w:r>
    </w:p>
    <w:p w14:paraId="295DBC8C">
      <w:pPr>
        <w:pStyle w:val="15"/>
        <w:spacing w:before="157" w:beforeLines="50" w:after="157" w:afterLines="50" w:line="560" w:lineRule="exact"/>
        <w:ind w:firstLine="643" w:firstLineChars="200"/>
        <w:outlineLvl w:val="2"/>
        <w:rPr>
          <w:rFonts w:hint="default" w:ascii="Times New Roman" w:hAnsi="Times New Roman" w:eastAsia="仿宋" w:cs="Times New Roman"/>
          <w:b/>
          <w:bCs/>
          <w:color w:val="auto"/>
          <w:sz w:val="32"/>
          <w:szCs w:val="40"/>
          <w:highlight w:val="none"/>
          <w:u w:val="none"/>
        </w:rPr>
      </w:pPr>
      <w:r>
        <w:rPr>
          <w:rFonts w:hint="default" w:ascii="Times New Roman" w:hAnsi="Times New Roman" w:eastAsia="仿宋" w:cs="Times New Roman"/>
          <w:b/>
          <w:bCs/>
          <w:color w:val="auto"/>
          <w:sz w:val="32"/>
          <w:szCs w:val="40"/>
          <w:highlight w:val="none"/>
          <w:u w:val="none"/>
        </w:rPr>
        <w:t>二、</w:t>
      </w:r>
      <w:r>
        <w:rPr>
          <w:rFonts w:hint="default" w:ascii="Times New Roman" w:hAnsi="Times New Roman" w:eastAsia="仿宋" w:cs="Times New Roman"/>
          <w:b/>
          <w:bCs/>
          <w:color w:val="auto"/>
          <w:sz w:val="32"/>
          <w:szCs w:val="40"/>
          <w:highlight w:val="none"/>
          <w:u w:val="none"/>
          <w:lang w:val="en-US" w:eastAsia="zh-CN"/>
        </w:rPr>
        <w:t>强化</w:t>
      </w:r>
      <w:r>
        <w:rPr>
          <w:rFonts w:hint="default" w:ascii="Times New Roman" w:hAnsi="Times New Roman" w:eastAsia="仿宋" w:cs="Times New Roman"/>
          <w:b/>
          <w:bCs/>
          <w:color w:val="auto"/>
          <w:sz w:val="32"/>
          <w:szCs w:val="40"/>
          <w:highlight w:val="none"/>
          <w:u w:val="none"/>
        </w:rPr>
        <w:t>数智</w:t>
      </w:r>
      <w:r>
        <w:rPr>
          <w:rFonts w:hint="default" w:ascii="Times New Roman" w:hAnsi="Times New Roman" w:eastAsia="仿宋" w:cs="Times New Roman"/>
          <w:b/>
          <w:bCs/>
          <w:color w:val="auto"/>
          <w:sz w:val="32"/>
          <w:szCs w:val="40"/>
          <w:highlight w:val="none"/>
          <w:u w:val="none"/>
          <w:lang w:val="en-US" w:eastAsia="zh-CN"/>
        </w:rPr>
        <w:t>林业</w:t>
      </w:r>
      <w:r>
        <w:rPr>
          <w:rFonts w:hint="default" w:ascii="Times New Roman" w:hAnsi="Times New Roman" w:eastAsia="仿宋" w:cs="Times New Roman"/>
          <w:b/>
          <w:bCs/>
          <w:color w:val="auto"/>
          <w:sz w:val="32"/>
          <w:szCs w:val="40"/>
          <w:highlight w:val="none"/>
          <w:u w:val="none"/>
        </w:rPr>
        <w:t>支撑</w:t>
      </w:r>
    </w:p>
    <w:p w14:paraId="7E4CDF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b w:val="0"/>
          <w:bCs w:val="0"/>
          <w:color w:val="auto"/>
          <w:sz w:val="32"/>
          <w:szCs w:val="32"/>
          <w:highlight w:val="none"/>
          <w:lang w:val="en-US" w:eastAsia="zh-CN"/>
        </w:rPr>
        <w:t>进一步深化数字林业中台功能，进一步整合现有业务系统，分类推进“关、停、并、转”。构建统一的数据服务接口和业务协同引擎，实现跨平台数据资源的高效调度与业务流程的无缝衔接。强化中台对AI算法模型的集成能力，支持各业务场景下智能分析、预测预警等应用的快速开发与部署。加快林业政务数字化平台建设，推动林政服务网办全覆盖，集成项目管理、资源监管、应急指挥等核心业务于统一数字平台，实现省市县三级数据互联与业务协同，提升管理决策科学化与精准化水平。</w:t>
      </w:r>
    </w:p>
    <w:p w14:paraId="12CBBC0A">
      <w:pPr>
        <w:pStyle w:val="15"/>
        <w:spacing w:before="157" w:beforeLines="50" w:after="157" w:afterLines="50" w:line="560" w:lineRule="exact"/>
        <w:ind w:firstLine="643" w:firstLineChars="200"/>
        <w:outlineLvl w:val="2"/>
        <w:rPr>
          <w:rFonts w:hint="default" w:ascii="Times New Roman" w:hAnsi="Times New Roman" w:eastAsia="仿宋" w:cs="Times New Roman"/>
          <w:b/>
          <w:bCs/>
          <w:color w:val="auto"/>
          <w:sz w:val="32"/>
          <w:szCs w:val="40"/>
          <w:highlight w:val="none"/>
          <w:u w:val="none"/>
        </w:rPr>
      </w:pPr>
      <w:r>
        <w:rPr>
          <w:rFonts w:hint="default" w:ascii="Times New Roman" w:hAnsi="Times New Roman" w:eastAsia="仿宋" w:cs="Times New Roman"/>
          <w:b/>
          <w:bCs/>
          <w:color w:val="auto"/>
          <w:sz w:val="32"/>
          <w:szCs w:val="40"/>
          <w:highlight w:val="none"/>
          <w:u w:val="none"/>
        </w:rPr>
        <w:t>三、</w:t>
      </w:r>
      <w:r>
        <w:rPr>
          <w:rFonts w:hint="default" w:ascii="Times New Roman" w:hAnsi="Times New Roman" w:eastAsia="仿宋" w:cs="Times New Roman"/>
          <w:b/>
          <w:bCs/>
          <w:color w:val="auto"/>
          <w:sz w:val="32"/>
          <w:szCs w:val="40"/>
          <w:highlight w:val="none"/>
          <w:u w:val="none"/>
          <w:lang w:val="en-US" w:eastAsia="zh-CN"/>
        </w:rPr>
        <w:t>强化智能化创新应用</w:t>
      </w:r>
    </w:p>
    <w:p w14:paraId="29334837">
      <w:pPr>
        <w:pStyle w:val="15"/>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Times New Roman" w:hAnsi="Times New Roman" w:eastAsia="黑体" w:cs="Times New Roman"/>
          <w:b w:val="0"/>
          <w:bCs w:val="0"/>
          <w:color w:val="auto"/>
          <w:sz w:val="32"/>
          <w:szCs w:val="40"/>
          <w:highlight w:val="none"/>
          <w:lang w:val="en-US" w:eastAsia="zh-CN"/>
        </w:rPr>
      </w:pPr>
      <w:r>
        <w:rPr>
          <w:rFonts w:hint="default" w:ascii="Times New Roman" w:hAnsi="Times New Roman" w:eastAsia="仿宋" w:cs="Times New Roman"/>
          <w:b w:val="0"/>
          <w:bCs w:val="0"/>
          <w:color w:val="auto"/>
          <w:kern w:val="2"/>
          <w:sz w:val="32"/>
          <w:szCs w:val="32"/>
          <w:highlight w:val="none"/>
          <w:lang w:val="en-US" w:eastAsia="zh-CN" w:bidi="ar-SA"/>
        </w:rPr>
        <w:t>加强算法研发与模型训练，增强动态监测和生态感知能力，提升生态资源智慧化保护管理水平。立足“预知、预警、预演、预案”的一体化预警理念，全方位构建涵盖森林防火、有害生物防治、极端气象灾害等领域的智能化风险防控体系。推动低空技术与林业深度融合，应用智能传感器、机器人技术、区块链和预测性分析模型，深度融合于林业业务的关键环节。结合广东数字政府改革经验，探索林业公共数据、基础数据、业务数据的分类分级授权运营机制。</w:t>
      </w:r>
    </w:p>
    <w:p w14:paraId="296A981B">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61" w:name="_Toc27591"/>
      <w:r>
        <w:rPr>
          <w:rFonts w:hint="default" w:ascii="Times New Roman" w:hAnsi="Times New Roman" w:eastAsia="黑体" w:cs="Times New Roman"/>
          <w:b w:val="0"/>
          <w:bCs w:val="0"/>
          <w:color w:val="auto"/>
          <w:sz w:val="32"/>
          <w:szCs w:val="40"/>
          <w:highlight w:val="none"/>
          <w:lang w:val="en-US" w:eastAsia="zh-CN"/>
        </w:rPr>
        <w:t>第七节 提升林业综合治理能力</w:t>
      </w:r>
      <w:bookmarkEnd w:id="61"/>
    </w:p>
    <w:p w14:paraId="299D2CEB">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bookmarkStart w:id="62" w:name="_Toc9754"/>
      <w:r>
        <w:rPr>
          <w:rFonts w:hint="default" w:ascii="Times New Roman" w:hAnsi="Times New Roman" w:eastAsia="仿宋" w:cs="Times New Roman"/>
          <w:b/>
          <w:bCs/>
          <w:color w:val="auto"/>
          <w:sz w:val="32"/>
          <w:szCs w:val="40"/>
          <w:highlight w:val="none"/>
          <w:lang w:val="en-US" w:eastAsia="zh-CN"/>
        </w:rPr>
        <w:t>一、健全林业法治体系</w:t>
      </w:r>
      <w:bookmarkEnd w:id="62"/>
    </w:p>
    <w:p w14:paraId="746C1B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持续加强和规范林业行政执法与监督工作，细化林业项目审批、资金使用、风险防控等流程规范。强化林业行政执法和司法协同联动，健全跨部门协作执法机制，常态化加强对林业行政执法人员的培训指导。持续开展森林资源督查执法监管，加强重点生态功能区、生态敏感脆弱区、重点违法领域问题的监管，严格执行森林资源损害赔偿和责任追究制度。贯彻《行政执法监督条例》，指导规范林业行政执法行为，落实行政执法“三项制度”，促进严格规范公正文明执法。</w:t>
      </w:r>
    </w:p>
    <w:p w14:paraId="58FC5B59">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bookmarkStart w:id="63" w:name="_Toc13167"/>
      <w:r>
        <w:rPr>
          <w:rFonts w:hint="default" w:ascii="Times New Roman" w:hAnsi="Times New Roman" w:eastAsia="仿宋" w:cs="Times New Roman"/>
          <w:b/>
          <w:bCs/>
          <w:color w:val="auto"/>
          <w:sz w:val="32"/>
          <w:szCs w:val="40"/>
          <w:highlight w:val="none"/>
          <w:lang w:val="en-US" w:eastAsia="zh-CN"/>
        </w:rPr>
        <w:t>二、推深做实林长制</w:t>
      </w:r>
      <w:bookmarkEnd w:id="63"/>
    </w:p>
    <w:p w14:paraId="76C6BC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充分发挥绿美广东生态建设领导小组的统筹协调作用，持续完善五级林长组织架构。建立健全林长会议、部门协作、信息通报等工作机制，明确各级林长及成员单位职责分工，全面落实各级党委、政府主体责任。推动林长制体系与基层治理网格深度融合，加强林业与自然资源、公安、司法、生态环境等部门的协同配合，健全完善协作机制，合力解决基层林草治理问题。强化考核导向作用，考核结果作为领导干部综合评价和自然资源资产离任审计的重要参考。</w:t>
      </w:r>
    </w:p>
    <w:p w14:paraId="19304AA0">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三、强化林业金融支持</w:t>
      </w:r>
    </w:p>
    <w:p w14:paraId="510400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bCs/>
          <w:color w:val="auto"/>
          <w:sz w:val="32"/>
          <w:szCs w:val="40"/>
          <w:highlight w:val="none"/>
          <w:lang w:val="en-US" w:eastAsia="zh-CN"/>
        </w:rPr>
      </w:pPr>
      <w:bookmarkStart w:id="64" w:name="_Toc21249"/>
      <w:r>
        <w:rPr>
          <w:rFonts w:hint="default" w:ascii="Times New Roman" w:hAnsi="Times New Roman" w:eastAsia="仿宋" w:cs="Times New Roman"/>
          <w:color w:val="auto"/>
          <w:sz w:val="32"/>
          <w:szCs w:val="32"/>
          <w:highlight w:val="none"/>
          <w:lang w:val="en-US" w:eastAsia="zh-CN"/>
        </w:rPr>
        <w:t>用好</w:t>
      </w:r>
      <w:r>
        <w:rPr>
          <w:rFonts w:hint="default" w:ascii="Times New Roman" w:hAnsi="Times New Roman" w:eastAsia="仿宋" w:cs="Times New Roman"/>
          <w:b w:val="0"/>
          <w:bCs w:val="0"/>
          <w:color w:val="auto"/>
          <w:sz w:val="32"/>
          <w:szCs w:val="32"/>
          <w:highlight w:val="none"/>
          <w:lang w:val="en-US" w:eastAsia="zh-CN"/>
        </w:rPr>
        <w:t>南粤绿美生态投资基金，以股权投资方式，重点支持经济效益显著的林文旅融合、林业特色产业和碳汇转化效益突出的生态修复项目。完善绿色金融产品供给体系，开发“粤林贷”“竹塑贷”等金融产品。推动特色优势林业项目积极争取专项债，支持符合条件的林业企业发行债券。支持有条件的地区根据实际需要推动成立林权收储机构，鼓励社会资本开展林权收储担保服务。创新林业保险产品，支持开展国家储备林保险、</w:t>
      </w:r>
      <w:r>
        <w:rPr>
          <w:rFonts w:hint="default" w:ascii="Times New Roman" w:hAnsi="Times New Roman" w:eastAsia="仿宋" w:cs="Times New Roman"/>
          <w:color w:val="auto"/>
          <w:sz w:val="32"/>
          <w:szCs w:val="32"/>
          <w:highlight w:val="none"/>
        </w:rPr>
        <w:t>林下经济保险</w:t>
      </w:r>
      <w:r>
        <w:rPr>
          <w:rFonts w:hint="default" w:ascii="Times New Roman" w:hAnsi="Times New Roman" w:eastAsia="仿宋" w:cs="Times New Roman"/>
          <w:b w:val="0"/>
          <w:bCs w:val="0"/>
          <w:color w:val="auto"/>
          <w:sz w:val="32"/>
          <w:szCs w:val="32"/>
          <w:highlight w:val="none"/>
          <w:lang w:val="en-US" w:eastAsia="zh-CN"/>
        </w:rPr>
        <w:t>等业务。</w:t>
      </w:r>
    </w:p>
    <w:p w14:paraId="1A5F2290">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四、夯实林业基层队伍</w:t>
      </w:r>
      <w:bookmarkEnd w:id="64"/>
    </w:p>
    <w:p w14:paraId="3161D6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bookmarkStart w:id="65" w:name="OLE_LINK4"/>
      <w:r>
        <w:rPr>
          <w:rFonts w:hint="default" w:ascii="Times New Roman" w:hAnsi="Times New Roman" w:eastAsia="仿宋" w:cs="Times New Roman"/>
          <w:b w:val="0"/>
          <w:bCs w:val="0"/>
          <w:color w:val="auto"/>
          <w:sz w:val="32"/>
          <w:szCs w:val="32"/>
          <w:highlight w:val="none"/>
          <w:lang w:val="en-US" w:eastAsia="zh-CN"/>
        </w:rPr>
        <w:t>推进基层林业技术人员继续教育，定期开展森林管护、病虫害防治、林业法规等专项技能培训。探索创新实施林科生“订单式”培养计划，依托部分省属高等院校，重点为国有林场培养涉林专业人才。积极争取机构编制部门支持，因地制宜、因需设置不同类型林业站，协调推动基层林业站分类指导和标准化建设。推动林业专业高技能人才与工程技术人才职业发展贯通，拓宽林业技术人才职业发展通道。推动省级科研团队与市县林科所、市县国有林场等结对攻关，提升市县林业人才科研水平。</w:t>
      </w:r>
    </w:p>
    <w:p w14:paraId="3AA11F6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val="0"/>
          <w:color w:val="auto"/>
          <w:sz w:val="32"/>
          <w:szCs w:val="32"/>
          <w:highlight w:val="none"/>
          <w:lang w:val="en-US" w:eastAsia="zh-CN"/>
        </w:rPr>
      </w:pPr>
    </w:p>
    <w:p w14:paraId="28A1E8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p>
    <w:bookmarkEnd w:id="65"/>
    <w:p w14:paraId="612DC800">
      <w:pPr>
        <w:numPr>
          <w:ilvl w:val="0"/>
          <w:numId w:val="0"/>
        </w:numPr>
        <w:jc w:val="center"/>
        <w:outlineLvl w:val="0"/>
        <w:rPr>
          <w:rFonts w:hint="default" w:ascii="Times New Roman" w:hAnsi="Times New Roman" w:eastAsia="黑体" w:cs="Times New Roman"/>
          <w:bCs/>
          <w:color w:val="auto"/>
          <w:kern w:val="2"/>
          <w:sz w:val="32"/>
          <w:szCs w:val="52"/>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5CAFD81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0"/>
        <w:rPr>
          <w:rFonts w:hint="default" w:ascii="Times New Roman" w:hAnsi="Times New Roman" w:eastAsia="黑体" w:cs="Times New Roman"/>
          <w:b/>
          <w:bCs/>
          <w:color w:val="auto"/>
          <w:sz w:val="32"/>
          <w:szCs w:val="40"/>
          <w:highlight w:val="none"/>
          <w:lang w:val="en-US" w:eastAsia="zh-CN"/>
        </w:rPr>
      </w:pPr>
      <w:bookmarkStart w:id="66" w:name="_Toc22031"/>
      <w:r>
        <w:rPr>
          <w:rFonts w:hint="default" w:ascii="Times New Roman" w:hAnsi="Times New Roman" w:eastAsia="黑体" w:cs="Times New Roman"/>
          <w:b/>
          <w:bCs/>
          <w:color w:val="auto"/>
          <w:sz w:val="32"/>
          <w:szCs w:val="40"/>
          <w:highlight w:val="none"/>
          <w:lang w:val="en-US" w:eastAsia="zh-CN"/>
        </w:rPr>
        <w:t>第七章 全面深化改革，激发林业发展新动力</w:t>
      </w:r>
      <w:bookmarkEnd w:id="66"/>
    </w:p>
    <w:p w14:paraId="30F85BCC">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67" w:name="_Toc9921"/>
      <w:r>
        <w:rPr>
          <w:rFonts w:hint="default" w:ascii="Times New Roman" w:hAnsi="Times New Roman" w:eastAsia="黑体" w:cs="Times New Roman"/>
          <w:b w:val="0"/>
          <w:bCs w:val="0"/>
          <w:color w:val="auto"/>
          <w:sz w:val="32"/>
          <w:szCs w:val="40"/>
          <w:highlight w:val="none"/>
          <w:lang w:val="en-US" w:eastAsia="zh-CN"/>
        </w:rPr>
        <w:t>第一节 深化集体林权制度改革</w:t>
      </w:r>
      <w:bookmarkEnd w:id="67"/>
    </w:p>
    <w:p w14:paraId="49599C25">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一、加快推进集体林权“三权”分置</w:t>
      </w:r>
    </w:p>
    <w:p w14:paraId="0BEAAE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CESI仿宋-GB2312" w:cs="Times New Roman"/>
          <w:color w:val="auto"/>
          <w:sz w:val="32"/>
          <w:szCs w:val="32"/>
          <w:lang w:val="en-US" w:eastAsia="zh-CN"/>
        </w:rPr>
        <w:t>健全完善“三权”分置</w:t>
      </w:r>
      <w:r>
        <w:rPr>
          <w:rFonts w:hint="default" w:ascii="Times New Roman" w:hAnsi="Times New Roman" w:eastAsia="CESI仿宋-GB2312" w:cs="Times New Roman"/>
          <w:color w:val="auto"/>
          <w:sz w:val="32"/>
          <w:szCs w:val="32"/>
          <w:lang w:eastAsia="zh-CN"/>
        </w:rPr>
        <w:t>制度体系，落实林木所有权权能。</w:t>
      </w:r>
      <w:r>
        <w:rPr>
          <w:rFonts w:hint="default" w:ascii="Times New Roman" w:hAnsi="Times New Roman" w:eastAsia="仿宋" w:cs="Times New Roman"/>
          <w:b w:val="0"/>
          <w:bCs w:val="0"/>
          <w:color w:val="auto"/>
          <w:sz w:val="32"/>
          <w:szCs w:val="32"/>
          <w:highlight w:val="none"/>
          <w:lang w:val="en-US" w:eastAsia="zh-CN"/>
        </w:rPr>
        <w:t>推动林权登记提质增效，健全林权类不动产登记与林业管理工作衔接机制。建立线上线下联动的林权流转服务体系，创新集体林地“三权”分置数字化管理模式，实现林业管理与林权登记数据共享。</w:t>
      </w:r>
      <w:r>
        <w:rPr>
          <w:rFonts w:hint="default" w:ascii="Times New Roman" w:hAnsi="Times New Roman" w:eastAsia="CESI仿宋-GB2312" w:cs="Times New Roman"/>
          <w:color w:val="auto"/>
          <w:sz w:val="32"/>
          <w:szCs w:val="32"/>
          <w:lang w:eastAsia="zh-CN"/>
        </w:rPr>
        <w:t>健全林业生产社会化服务体系。</w:t>
      </w:r>
    </w:p>
    <w:p w14:paraId="2BF29329">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二、完善规模经营机制</w:t>
      </w:r>
    </w:p>
    <w:p w14:paraId="5EC43BEE">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0" w:firstLineChars="200"/>
        <w:textAlignment w:val="auto"/>
        <w:outlineLvl w:val="9"/>
        <w:rPr>
          <w:rFonts w:hint="default" w:ascii="Times New Roman" w:hAnsi="Times New Roman" w:cs="Times New Roman"/>
          <w:lang w:val="en-US" w:eastAsia="zh-CN"/>
        </w:rPr>
      </w:pPr>
      <w:r>
        <w:rPr>
          <w:rFonts w:hint="default" w:ascii="Times New Roman" w:hAnsi="Times New Roman" w:eastAsia="仿宋" w:cs="Times New Roman"/>
          <w:b w:val="0"/>
          <w:bCs w:val="0"/>
          <w:color w:val="auto"/>
          <w:sz w:val="32"/>
          <w:szCs w:val="32"/>
          <w:highlight w:val="none"/>
          <w:lang w:val="en-US" w:eastAsia="zh-CN"/>
        </w:rPr>
        <w:t>探索制发林票或股份地票，建立股份制规模经营机制，支持组建林权收储机构，推进集约规模经营。完善“农户+村集体+林场+金融机构+社会资本”的联农带农利益联结机制。推动广州、韶关、茂名3市和恩平等5县（市）开展先行探索，力争在林权流转、采伐管理、公益林管理、产业发展等方面取得突破。</w:t>
      </w:r>
    </w:p>
    <w:p w14:paraId="5D553F8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68" w:name="_Toc22520"/>
      <w:r>
        <w:rPr>
          <w:rFonts w:hint="default" w:ascii="Times New Roman" w:hAnsi="Times New Roman" w:eastAsia="黑体" w:cs="Times New Roman"/>
          <w:b w:val="0"/>
          <w:bCs w:val="0"/>
          <w:color w:val="auto"/>
          <w:sz w:val="32"/>
          <w:szCs w:val="40"/>
          <w:highlight w:val="none"/>
          <w:lang w:val="en-US" w:eastAsia="zh-CN"/>
        </w:rPr>
        <w:t>第二节 推进绿美综合试点改革</w:t>
      </w:r>
      <w:bookmarkEnd w:id="68"/>
    </w:p>
    <w:p w14:paraId="0C08BC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以韶关、河源、梅州、肇庆、清远等市为重点，系统推进绿美广东生态建设综合改革试点，形成可复制可推广的改革成果。创新造林绿化与森林可持续经营模式，推广“先造后补”“一包三年”等机制，优化林木采伐管理。推动林业与旅游、康养等产业深度融合。完善林业金融服务体系，创新绿色金融产品，强化林业科技与人才支撑。</w:t>
      </w:r>
    </w:p>
    <w:p w14:paraId="7E716230">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69" w:name="_Toc9373"/>
      <w:r>
        <w:rPr>
          <w:rFonts w:hint="default" w:ascii="Times New Roman" w:hAnsi="Times New Roman" w:eastAsia="黑体" w:cs="Times New Roman"/>
          <w:b w:val="0"/>
          <w:bCs w:val="0"/>
          <w:color w:val="auto"/>
          <w:sz w:val="32"/>
          <w:szCs w:val="40"/>
          <w:highlight w:val="none"/>
          <w:lang w:val="en-US" w:eastAsia="zh-CN"/>
        </w:rPr>
        <w:t>第三节 推进现代化国有林场建设</w:t>
      </w:r>
      <w:bookmarkEnd w:id="69"/>
    </w:p>
    <w:p w14:paraId="472FFF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分类完善国有林场管理体制，编制现代化国有林场省级建设实施方案，构建以森林经营方案为核心的制度体系，探索建立收入分配激励机制。推广“国有林场+”等模式，高效盘活国有林场森林资源资产，协同深化集体林权制度改革，带动集体林地适度规模经营。</w:t>
      </w:r>
    </w:p>
    <w:p w14:paraId="0FC165FE">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70" w:name="_Toc32578"/>
      <w:r>
        <w:rPr>
          <w:rFonts w:hint="default" w:ascii="Times New Roman" w:hAnsi="Times New Roman" w:eastAsia="黑体" w:cs="Times New Roman"/>
          <w:b w:val="0"/>
          <w:bCs w:val="0"/>
          <w:color w:val="auto"/>
          <w:sz w:val="32"/>
          <w:szCs w:val="40"/>
          <w:highlight w:val="none"/>
          <w:lang w:val="en-US" w:eastAsia="zh-CN"/>
        </w:rPr>
        <w:t>第四节 完善森林可持续经营制度</w:t>
      </w:r>
      <w:bookmarkEnd w:id="70"/>
    </w:p>
    <w:p w14:paraId="12CA04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融合推进国土绿化空间治理和森林可持续经营，开展森林全周期经营管理，实施以主导功能为基础，保护、治理、利用多功能融合，多措并举的森林可持续经营。指导国有林场全面实施森林可持续经营，鼓励“场村”联营。</w:t>
      </w:r>
    </w:p>
    <w:p w14:paraId="39CC730E">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71" w:name="_Toc18762"/>
      <w:r>
        <w:rPr>
          <w:rFonts w:hint="default" w:ascii="Times New Roman" w:hAnsi="Times New Roman" w:eastAsia="黑体" w:cs="Times New Roman"/>
          <w:b w:val="0"/>
          <w:bCs w:val="0"/>
          <w:color w:val="auto"/>
          <w:sz w:val="32"/>
          <w:szCs w:val="40"/>
          <w:highlight w:val="none"/>
          <w:lang w:val="en-US" w:eastAsia="zh-CN"/>
        </w:rPr>
        <w:t>第五节 推进林业要素保障机制改革​</w:t>
      </w:r>
      <w:bookmarkEnd w:id="71"/>
    </w:p>
    <w:p w14:paraId="659F7ED0">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一、推进重大项目用地机制改革</w:t>
      </w:r>
    </w:p>
    <w:p w14:paraId="571A3C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加大基础设施公益民生项目及林业产业发展用地支持力度。建立重大项目建设使用林地统筹协调机制，对省级以上重点项目实行林地定额精准保障，强化森林资源节约集约利用导向。探索林地占补平衡管理制度，实行林地利用与森林资源增减变化挂钩调控机制。</w:t>
      </w:r>
    </w:p>
    <w:p w14:paraId="11134AF5">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二、优化林业产业发展用地政策</w:t>
      </w:r>
    </w:p>
    <w:p w14:paraId="61E7CB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鼓励为国家级林业产业示范园区、省级特色产业发展基地一次性安排不低于50亩的用地指标。支持在林区内依法建设经营设施，对省级以上森林康养基地及重大产业项目优先保障建设用地。集中连片流转林地500亩以上用于生态建设的，允许将不超过经营面积3%（最高30亩）的林地用于旅游、康养设施建设，配套工程纳入林业生产用地管理。对林下经济、生态旅游等项目实行点状指标单列。</w:t>
      </w:r>
    </w:p>
    <w:p w14:paraId="5355DCAF">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三、优化林木采伐管理机制</w:t>
      </w:r>
    </w:p>
    <w:p w14:paraId="6C0CC1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严格执行森林采伐限额，持续深化林木采伐“放管服”改革，提高审批效率。全面实行“林木采伐告知承诺制”审批，推广“远程勘验”与“掌上办”等便民服务模式，优化小额人工商品林采伐审批，推动实施用地用林用海联动审批。</w:t>
      </w:r>
    </w:p>
    <w:p w14:paraId="39061D6B">
      <w:pPr>
        <w:pStyle w:val="15"/>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四、完善自然保护地要素保障机制</w:t>
      </w:r>
    </w:p>
    <w:p w14:paraId="4345DC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b w:val="0"/>
          <w:bCs w:val="0"/>
          <w:color w:val="auto"/>
          <w:sz w:val="32"/>
          <w:szCs w:val="32"/>
          <w:highlight w:val="none"/>
          <w:lang w:val="en-US" w:eastAsia="zh-CN"/>
        </w:rPr>
        <w:t>明确各级各类自然保护地的范围界线与分区管控要求，实行差异化用途管制。建立有限人为活动准入清单与负面清单，对必要的生态保护、科研监测及民生设施建设实行自然保护地调整保障。探索一般控制区在符合保护要求的前提下，发展海域海岛生态旅游、自然教育等绿色产业。</w:t>
      </w:r>
    </w:p>
    <w:p w14:paraId="225437C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color w:val="auto"/>
          <w:sz w:val="21"/>
          <w:szCs w:val="24"/>
          <w:highlight w:val="none"/>
          <w:lang w:val="en-US" w:eastAsia="zh-CN"/>
        </w:rPr>
        <w:sectPr>
          <w:pgSz w:w="11906" w:h="16838"/>
          <w:pgMar w:top="1440" w:right="1800" w:bottom="1440" w:left="1800" w:header="851" w:footer="992" w:gutter="0"/>
          <w:cols w:space="425" w:num="1"/>
          <w:docGrid w:type="lines" w:linePitch="312" w:charSpace="0"/>
        </w:sectPr>
      </w:pPr>
    </w:p>
    <w:p w14:paraId="68BEF213">
      <w:pPr>
        <w:spacing w:beforeLines="50" w:afterLines="50" w:line="560" w:lineRule="exact"/>
        <w:jc w:val="center"/>
        <w:outlineLvl w:val="0"/>
        <w:rPr>
          <w:rFonts w:hint="default" w:ascii="Times New Roman" w:hAnsi="Times New Roman" w:eastAsia="黑体" w:cs="Times New Roman"/>
          <w:b/>
          <w:bCs/>
          <w:sz w:val="32"/>
          <w:szCs w:val="40"/>
        </w:rPr>
      </w:pPr>
      <w:bookmarkStart w:id="72" w:name="_Toc19005"/>
      <w:r>
        <w:rPr>
          <w:rFonts w:hint="default" w:ascii="Times New Roman" w:hAnsi="Times New Roman" w:eastAsia="黑体" w:cs="Times New Roman"/>
          <w:b/>
          <w:bCs/>
          <w:sz w:val="32"/>
          <w:szCs w:val="40"/>
        </w:rPr>
        <w:t>第</w:t>
      </w:r>
      <w:r>
        <w:rPr>
          <w:rFonts w:hint="default" w:ascii="Times New Roman" w:hAnsi="Times New Roman" w:eastAsia="黑体" w:cs="Times New Roman"/>
          <w:b/>
          <w:bCs/>
          <w:sz w:val="32"/>
          <w:szCs w:val="40"/>
          <w:lang w:val="en-US" w:eastAsia="zh-CN"/>
        </w:rPr>
        <w:t>八</w:t>
      </w:r>
      <w:r>
        <w:rPr>
          <w:rFonts w:hint="default" w:ascii="Times New Roman" w:hAnsi="Times New Roman" w:eastAsia="黑体" w:cs="Times New Roman"/>
          <w:b/>
          <w:bCs/>
          <w:sz w:val="32"/>
          <w:szCs w:val="40"/>
        </w:rPr>
        <w:t>章 强化科技创新，引领发展林业新质生产力</w:t>
      </w:r>
      <w:bookmarkEnd w:id="72"/>
    </w:p>
    <w:p w14:paraId="5B727F24">
      <w:pPr>
        <w:spacing w:beforeLines="50" w:afterLines="50" w:line="560" w:lineRule="exact"/>
        <w:jc w:val="center"/>
        <w:outlineLvl w:val="1"/>
        <w:rPr>
          <w:rFonts w:hint="default" w:ascii="Times New Roman" w:hAnsi="Times New Roman" w:eastAsia="黑体" w:cs="Times New Roman"/>
          <w:sz w:val="32"/>
          <w:szCs w:val="40"/>
        </w:rPr>
      </w:pPr>
      <w:bookmarkStart w:id="73" w:name="_Toc9070"/>
      <w:r>
        <w:rPr>
          <w:rFonts w:hint="default" w:ascii="Times New Roman" w:hAnsi="Times New Roman" w:eastAsia="黑体" w:cs="Times New Roman"/>
          <w:sz w:val="32"/>
          <w:szCs w:val="40"/>
        </w:rPr>
        <w:t>第一节 增强林业科研创新能力</w:t>
      </w:r>
      <w:bookmarkEnd w:id="73"/>
    </w:p>
    <w:p w14:paraId="2657DED7">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一、加强重大科技研发攻关</w:t>
      </w:r>
    </w:p>
    <w:p w14:paraId="22B367D0">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围绕生态保护修复与绿色低碳产业发展核心科技需求，重点支持红锥、木荷、楠木、乐昌含笑、杉木、橡胶树、红树等重要树种选育，生态系统质量提升与可持续经营，木竹材加工利用，非木质林产品资源培育和加工利用，生物多样性保护，森林灾害防控，智能装备与智慧林业，林业高质量发展等方面开展关键技术研发，力争形成一批标志性创新成果和关键核心技术。</w:t>
      </w:r>
    </w:p>
    <w:p w14:paraId="6A51C2D0">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二、升级完善林业科技创新平台</w:t>
      </w:r>
    </w:p>
    <w:p w14:paraId="362B1EF5">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推进粤港澳大湾区生态系统保护修复、森林康养、铁皮石斛等国家林草局重点实验室建设。支持大湾区内地城市与港澳机构互设林业科研机构、孵化器等创新平台。加快省林业局野外台站升级优化，开展生态数据收集和分析，加强广东省林业科学数据中心建设，深化林业领域科学数据汇交。鼓励高校、科研院所等依托国有林场、自然保护地、植物园、龙头企业等布局建设科技平台。</w:t>
      </w:r>
    </w:p>
    <w:p w14:paraId="0D025D08">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三、加强林业科技对外交流合作</w:t>
      </w:r>
    </w:p>
    <w:p w14:paraId="06DDBB58">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强粤港林业及自然护理专题小组交流，推进粤港澳在自然保护地建设和管理、山林修复、古树名木抢救复壮、鲸豚救护能力、湿地和红树林保护等工作，支持粤港澳科研人员与机构开展联合实验与协同攻关。鼓励</w:t>
      </w:r>
      <w:r>
        <w:rPr>
          <w:rFonts w:hint="default" w:ascii="Times New Roman" w:hAnsi="Times New Roman" w:eastAsia="仿宋" w:cs="Times New Roman"/>
          <w:sz w:val="32"/>
          <w:szCs w:val="32"/>
          <w:lang w:eastAsia="zh-CN"/>
        </w:rPr>
        <w:t>跨省（区）</w:t>
      </w:r>
      <w:r>
        <w:rPr>
          <w:rFonts w:hint="default" w:ascii="Times New Roman" w:hAnsi="Times New Roman" w:eastAsia="仿宋" w:cs="Times New Roman"/>
          <w:sz w:val="32"/>
          <w:szCs w:val="32"/>
        </w:rPr>
        <w:t>际林业科技协作，加强与福建、江西、湖南、广西等周边省份的林业科技协作。推进林业国际科技交流，鼓励共建联合研发中心或示范基地，吸引海外高水平专家团队来粤合作指导。</w:t>
      </w:r>
    </w:p>
    <w:p w14:paraId="6CB20CF8">
      <w:pPr>
        <w:spacing w:beforeLines="50" w:afterLines="50" w:line="560" w:lineRule="exact"/>
        <w:jc w:val="center"/>
        <w:outlineLvl w:val="1"/>
        <w:rPr>
          <w:rFonts w:hint="default" w:ascii="Times New Roman" w:hAnsi="Times New Roman" w:eastAsia="黑体" w:cs="Times New Roman"/>
          <w:sz w:val="32"/>
          <w:szCs w:val="40"/>
        </w:rPr>
      </w:pPr>
      <w:bookmarkStart w:id="74" w:name="_Toc22574"/>
      <w:r>
        <w:rPr>
          <w:rFonts w:hint="default" w:ascii="Times New Roman" w:hAnsi="Times New Roman" w:eastAsia="黑体" w:cs="Times New Roman"/>
          <w:sz w:val="32"/>
          <w:szCs w:val="40"/>
        </w:rPr>
        <w:t>第二节 推进林业科技成果转化</w:t>
      </w:r>
      <w:bookmarkEnd w:id="74"/>
    </w:p>
    <w:p w14:paraId="79612E8B">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一、完善科技成果推广与转化体系</w:t>
      </w:r>
    </w:p>
    <w:p w14:paraId="62EFFDDF">
      <w:pPr>
        <w:spacing w:line="560" w:lineRule="exact"/>
        <w:ind w:firstLine="640" w:firstLineChars="200"/>
        <w:rPr>
          <w:rFonts w:hint="default" w:ascii="Times New Roman" w:hAnsi="Times New Roman" w:eastAsia="仿宋" w:cs="Times New Roman"/>
          <w:b/>
          <w:bCs/>
          <w:sz w:val="32"/>
          <w:szCs w:val="40"/>
        </w:rPr>
      </w:pPr>
      <w:r>
        <w:rPr>
          <w:rFonts w:hint="default" w:ascii="Times New Roman" w:hAnsi="Times New Roman" w:eastAsia="仿宋" w:cs="Times New Roman"/>
          <w:sz w:val="32"/>
          <w:szCs w:val="32"/>
        </w:rPr>
        <w:t>建立由省级推广专家/特派员、市县推广专家、乡镇林技指导员、专职推广员及乡土专家构成的多元化林技推广队伍，鼓励科研单位与企业共建中试基地和科技园区。推出一批科技赋能绿美广东生态建设成果，重点推广一批经济价值高、技术成熟度高和产出效益高的成果。加强基层林业科研能力提升和人才培养。健全成果转化评价体系，探索建立技术入股、收益分成、现金奖励等多样化收益分配和激励机制。</w:t>
      </w:r>
    </w:p>
    <w:p w14:paraId="0B552ACF">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二、拓展新技术应用场景</w:t>
      </w:r>
    </w:p>
    <w:p w14:paraId="2D18F96E">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支持“AI+林业”大模型研发，加快林业科研装备数字化、智能化升级，推广应用机械狗、山地机器人、无人机、eVTOL、直升机等智能设备，深化人工智能在林草湿荒资源调查监测、动植物识别、灾害预警监测、林业产业统计分析、林业政务等多场景应用，强化智能装备在营林生产、采伐运输、木竹精深加工等场景应用。</w:t>
      </w:r>
    </w:p>
    <w:p w14:paraId="14AF7EE1">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三、健全林业科普体系</w:t>
      </w:r>
    </w:p>
    <w:p w14:paraId="189B82BB">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建立健全政府主导、社会支持、公众参与的林业科普工作机制。依托各级林业科研院所、自然保护地、国有林场、动物园、植物园等，加强科普基础设施建设，构建多元主体参与的科普网络。开发特色科普资源，开展系列林业特色品牌科普活动。实施科普人才培养计划，强化科普工作与林业科技推广的深度融合。</w:t>
      </w:r>
    </w:p>
    <w:p w14:paraId="301DABA1">
      <w:pPr>
        <w:spacing w:beforeLines="50" w:afterLines="50" w:line="560" w:lineRule="exact"/>
        <w:jc w:val="center"/>
        <w:outlineLvl w:val="1"/>
        <w:rPr>
          <w:rFonts w:hint="default" w:ascii="Times New Roman" w:hAnsi="Times New Roman" w:eastAsia="黑体" w:cs="Times New Roman"/>
          <w:sz w:val="32"/>
          <w:szCs w:val="40"/>
        </w:rPr>
      </w:pPr>
      <w:bookmarkStart w:id="75" w:name="_Toc15274"/>
      <w:r>
        <w:rPr>
          <w:rFonts w:hint="default" w:ascii="Times New Roman" w:hAnsi="Times New Roman" w:eastAsia="黑体" w:cs="Times New Roman"/>
          <w:sz w:val="32"/>
          <w:szCs w:val="40"/>
        </w:rPr>
        <w:t>第三节 健全林业技术标准体系</w:t>
      </w:r>
      <w:bookmarkEnd w:id="75"/>
    </w:p>
    <w:p w14:paraId="00891F19">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一、完善林业标准化体系</w:t>
      </w:r>
    </w:p>
    <w:p w14:paraId="121B9E29">
      <w:pPr>
        <w:spacing w:line="560" w:lineRule="exact"/>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rPr>
        <w:t>围绕生态修复、林下经济、林木种苗、森林康养和林业新技术应用等领域，制定和修订森林质量精准提升、典型生态系统修复、林下经济产品种植养殖和采集、珍贵乡土树种苗木、森林康养、林业无人机吊运运输等关键技术标准。鼓励行业组织、经营主体制定高于推荐性标准的团体标准、企业标准。</w:t>
      </w:r>
      <w:r>
        <w:rPr>
          <w:rFonts w:hint="default" w:ascii="Times New Roman" w:hAnsi="Times New Roman" w:eastAsia="仿宋" w:cs="Times New Roman"/>
          <w:sz w:val="32"/>
          <w:szCs w:val="32"/>
          <w:highlight w:val="none"/>
        </w:rPr>
        <w:t>“十五五”期间，力争发布地方标准和团体标准50项以上。</w:t>
      </w:r>
    </w:p>
    <w:p w14:paraId="5085B643">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二、加强</w:t>
      </w:r>
      <w:r>
        <w:rPr>
          <w:rFonts w:hint="default" w:ascii="Times New Roman" w:hAnsi="Times New Roman" w:eastAsia="仿宋" w:cs="Times New Roman"/>
          <w:b/>
          <w:bCs/>
          <w:sz w:val="32"/>
          <w:szCs w:val="32"/>
        </w:rPr>
        <w:t>食用林产品</w:t>
      </w:r>
      <w:r>
        <w:rPr>
          <w:rFonts w:hint="default" w:ascii="Times New Roman" w:hAnsi="Times New Roman" w:eastAsia="仿宋" w:cs="Times New Roman"/>
          <w:b/>
          <w:bCs/>
          <w:sz w:val="32"/>
          <w:szCs w:val="40"/>
        </w:rPr>
        <w:t>安全监管和知识产权保护</w:t>
      </w:r>
    </w:p>
    <w:p w14:paraId="19D0917B">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逐步扩大食用林产品监测品种与范围，支持林产品质量安全追溯信息管理平台建设，适时开展林地土壤污染状况普查、产地安全监测。监测食用林产品10000批次以上，质量合格率98%以上。加强授权植物新品种权保护、执法与宣传力度，争取在广东成立林业植物新品种测试机构，助力林业植物新品种保护执法队伍建设。</w:t>
      </w:r>
    </w:p>
    <w:p w14:paraId="7365F0FE">
      <w:pPr>
        <w:spacing w:beforeLines="50" w:afterLines="50" w:line="560" w:lineRule="exact"/>
        <w:jc w:val="center"/>
        <w:outlineLvl w:val="1"/>
        <w:rPr>
          <w:rFonts w:hint="default" w:ascii="Times New Roman" w:hAnsi="Times New Roman" w:eastAsia="黑体" w:cs="Times New Roman"/>
          <w:sz w:val="32"/>
          <w:szCs w:val="40"/>
        </w:rPr>
      </w:pPr>
      <w:bookmarkStart w:id="76" w:name="_Toc1007"/>
      <w:r>
        <w:rPr>
          <w:rFonts w:hint="default" w:ascii="Times New Roman" w:hAnsi="Times New Roman" w:eastAsia="黑体" w:cs="Times New Roman"/>
          <w:sz w:val="32"/>
          <w:szCs w:val="40"/>
        </w:rPr>
        <w:t>第四节 引进培育林业创新人才队伍</w:t>
      </w:r>
      <w:bookmarkEnd w:id="76"/>
    </w:p>
    <w:p w14:paraId="34FDD1ED">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一、引进高层次林业科技人才</w:t>
      </w:r>
    </w:p>
    <w:p w14:paraId="25B65C0F">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围绕林木育种、生态修复、智慧林业等前沿和紧缺领域，积极引进具备重大技术攻关能力的领军人才与创新团队。探索设立专家工作站与短期特聘岗位，吸引国内外院士等高层次人才，以咨询指导、项目合作等形式服务广东林业，在科研自主权、团队组建、薪酬待遇等方面提供全方位支持。</w:t>
      </w:r>
    </w:p>
    <w:p w14:paraId="33CD0F73">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二、培养本土林草科技人才</w:t>
      </w:r>
    </w:p>
    <w:p w14:paraId="742018C6">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加强林业技术骨干教育培训，编制完善继续教育专业科目与学习指南，完善专业技术人员知识结构，提升创新能力与理论水平。建立产学研联合培养机制，鼓励优秀青年科研人员和技术人才到科研院所、示范林场、龙头企业等开展项目研发与实践锻炼，选拔培育一批林业技术能手或林业乡土专家，力争获评国家林草局科技创新人才1-2人。</w:t>
      </w:r>
    </w:p>
    <w:p w14:paraId="4EBC7DF4">
      <w:pPr>
        <w:pStyle w:val="15"/>
        <w:spacing w:beforeLines="50" w:afterLines="50" w:line="560" w:lineRule="exact"/>
        <w:ind w:firstLine="643" w:firstLineChars="200"/>
        <w:outlineLvl w:val="2"/>
        <w:rPr>
          <w:rFonts w:hint="default" w:ascii="Times New Roman" w:hAnsi="Times New Roman" w:eastAsia="仿宋" w:cs="Times New Roman"/>
          <w:b/>
          <w:bCs/>
          <w:sz w:val="32"/>
          <w:szCs w:val="40"/>
        </w:rPr>
      </w:pPr>
      <w:r>
        <w:rPr>
          <w:rFonts w:hint="default" w:ascii="Times New Roman" w:hAnsi="Times New Roman" w:eastAsia="仿宋" w:cs="Times New Roman"/>
          <w:b/>
          <w:bCs/>
          <w:sz w:val="32"/>
          <w:szCs w:val="40"/>
        </w:rPr>
        <w:t>三、推动跨领域创新团队融合</w:t>
      </w:r>
    </w:p>
    <w:p w14:paraId="14D9B213">
      <w:pPr>
        <w:spacing w:line="560" w:lineRule="exact"/>
        <w:ind w:firstLine="640" w:firstLineChars="200"/>
        <w:rPr>
          <w:rFonts w:hint="default" w:ascii="Times New Roman" w:hAnsi="Times New Roman" w:cs="Times New Roman"/>
          <w:b/>
          <w:bCs/>
        </w:rPr>
        <w:sectPr>
          <w:pgSz w:w="11906" w:h="16838"/>
          <w:pgMar w:top="1440" w:right="1800" w:bottom="1440" w:left="1800" w:header="851" w:footer="992" w:gutter="0"/>
          <w:cols w:space="425" w:num="1"/>
          <w:docGrid w:type="lines" w:linePitch="312" w:charSpace="0"/>
        </w:sectPr>
      </w:pPr>
      <w:r>
        <w:rPr>
          <w:rFonts w:hint="default" w:ascii="Times New Roman" w:hAnsi="Times New Roman" w:eastAsia="仿宋" w:cs="Times New Roman"/>
          <w:sz w:val="32"/>
          <w:szCs w:val="32"/>
        </w:rPr>
        <w:t>围绕林业智能装备研发、林业碳汇精准核算、森林生态系统修复等综合性强、技术集成度和复杂度高的领域，汇聚林业工程、人工智能、遥感信息、生态经济等不同学科背景的专业人才。赋予项目负责人技术路线决定权、经费使用权和成员调配权，保障队伍高效协同攻关，力争获得重大项目的技术突破。</w:t>
      </w:r>
    </w:p>
    <w:p w14:paraId="3F18C7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jc w:val="center"/>
        <w:textAlignment w:val="auto"/>
        <w:outlineLvl w:val="0"/>
        <w:rPr>
          <w:rFonts w:hint="default" w:ascii="Times New Roman" w:hAnsi="Times New Roman" w:eastAsia="黑体" w:cs="Times New Roman"/>
          <w:b/>
          <w:bCs/>
          <w:color w:val="auto"/>
          <w:sz w:val="32"/>
          <w:szCs w:val="40"/>
          <w:highlight w:val="none"/>
          <w:lang w:val="en-US" w:eastAsia="zh-CN"/>
        </w:rPr>
      </w:pPr>
      <w:bookmarkStart w:id="77" w:name="_Toc11047"/>
      <w:r>
        <w:rPr>
          <w:rFonts w:hint="default" w:ascii="Times New Roman" w:hAnsi="Times New Roman" w:eastAsia="黑体" w:cs="Times New Roman"/>
          <w:b/>
          <w:bCs/>
          <w:color w:val="auto"/>
          <w:kern w:val="2"/>
          <w:sz w:val="32"/>
          <w:szCs w:val="40"/>
          <w:lang w:val="en-US" w:eastAsia="zh-CN" w:bidi="ar-SA"/>
        </w:rPr>
        <w:t xml:space="preserve">第九章 </w:t>
      </w:r>
      <w:r>
        <w:rPr>
          <w:rFonts w:hint="default" w:ascii="Times New Roman" w:hAnsi="Times New Roman" w:eastAsia="黑体" w:cs="Times New Roman"/>
          <w:b/>
          <w:bCs/>
          <w:color w:val="auto"/>
          <w:sz w:val="32"/>
          <w:szCs w:val="40"/>
          <w:highlight w:val="none"/>
          <w:lang w:val="en-US" w:eastAsia="zh-CN"/>
        </w:rPr>
        <w:t>弘扬“岳山造林”光荣传统，培育纵深推进绿美广东生态建设行动自觉</w:t>
      </w:r>
      <w:bookmarkEnd w:id="77"/>
    </w:p>
    <w:p w14:paraId="733B59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78" w:name="_Toc27864"/>
      <w:r>
        <w:rPr>
          <w:rFonts w:hint="default" w:ascii="Times New Roman" w:hAnsi="Times New Roman" w:eastAsia="黑体" w:cs="Times New Roman"/>
          <w:b w:val="0"/>
          <w:bCs w:val="0"/>
          <w:color w:val="auto"/>
          <w:kern w:val="2"/>
          <w:sz w:val="32"/>
          <w:szCs w:val="40"/>
          <w:lang w:val="en-US" w:eastAsia="zh-CN" w:bidi="ar-SA"/>
        </w:rPr>
        <w:t>第一节 打造南粤人文林业精神标识</w:t>
      </w:r>
      <w:bookmarkEnd w:id="78"/>
    </w:p>
    <w:p w14:paraId="14D516CE">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一、实施“</w:t>
      </w:r>
      <w:r>
        <w:rPr>
          <w:rFonts w:hint="default" w:ascii="Times New Roman" w:hAnsi="Times New Roman" w:eastAsia="仿宋" w:cs="Times New Roman"/>
          <w:b/>
          <w:bCs/>
          <w:color w:val="auto"/>
          <w:sz w:val="32"/>
          <w:szCs w:val="40"/>
          <w:highlight w:val="none"/>
          <w:lang w:val="en-US" w:eastAsia="zh-CN"/>
        </w:rPr>
        <w:t>岳山造林</w:t>
      </w:r>
      <w:r>
        <w:rPr>
          <w:rFonts w:hint="default" w:ascii="Times New Roman" w:hAnsi="Times New Roman" w:eastAsia="仿宋" w:cs="Times New Roman"/>
          <w:b/>
          <w:bCs/>
          <w:color w:val="auto"/>
          <w:kern w:val="2"/>
          <w:sz w:val="32"/>
          <w:szCs w:val="40"/>
          <w:lang w:val="en-US" w:eastAsia="zh-CN" w:bidi="ar-SA"/>
        </w:rPr>
        <w:t>”</w:t>
      </w:r>
      <w:r>
        <w:rPr>
          <w:rFonts w:hint="default" w:ascii="Times New Roman" w:hAnsi="Times New Roman" w:eastAsia="仿宋" w:cs="Times New Roman"/>
          <w:b/>
          <w:bCs/>
          <w:color w:val="auto"/>
          <w:sz w:val="32"/>
          <w:szCs w:val="40"/>
          <w:highlight w:val="none"/>
          <w:lang w:val="en-US" w:eastAsia="zh-CN"/>
        </w:rPr>
        <w:t>光荣传统行动</w:t>
      </w:r>
    </w:p>
    <w:p w14:paraId="3FAEAA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b w:val="0"/>
          <w:bCs w:val="0"/>
          <w:color w:val="auto"/>
          <w:kern w:val="2"/>
          <w:sz w:val="32"/>
          <w:szCs w:val="32"/>
          <w:highlight w:val="none"/>
          <w:lang w:val="en-US" w:eastAsia="zh-CN" w:bidi="ar-SA"/>
        </w:rPr>
        <w:t>将“岳山造林”光荣传统作为广东人文林业建设的核心精神标识，聚力打造“弘扬‘岳山造林’光荣传统”党建工作品牌。高标准打造“广东省怀集岳山南粤红绿径”，将绿美岳山建设成为践行习近平生态文明思想示范区、弘扬“岳山造林”光荣传统主阵地、绿美广东生态建设新典范。</w:t>
      </w:r>
    </w:p>
    <w:p w14:paraId="1F54DDAB">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二、推动</w:t>
      </w:r>
      <w:r>
        <w:rPr>
          <w:rFonts w:hint="default" w:ascii="Times New Roman" w:hAnsi="Times New Roman" w:eastAsia="仿宋" w:cs="Times New Roman"/>
          <w:b/>
          <w:bCs/>
          <w:color w:val="auto"/>
          <w:sz w:val="32"/>
          <w:szCs w:val="40"/>
          <w:highlight w:val="none"/>
          <w:lang w:val="en-US" w:eastAsia="zh-CN"/>
        </w:rPr>
        <w:t>南粤红绿径建设</w:t>
      </w:r>
    </w:p>
    <w:p w14:paraId="59BF0D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着力打造集自然景观、红色文化、历史遗迹、学习园地于一体的“南粤红绿径”特色线路。推动“5+N”标准化建设，深化品牌宣传推广，加快南粤红绿径建设工作规范化、系统化、科学化发展，打造红色文化与绿色发展深度融合的广东样板。</w:t>
      </w:r>
    </w:p>
    <w:p w14:paraId="63BE8124">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kern w:val="2"/>
          <w:sz w:val="32"/>
          <w:szCs w:val="40"/>
          <w:lang w:val="en-US" w:eastAsia="zh-CN" w:bidi="ar-SA"/>
        </w:rPr>
      </w:pPr>
      <w:r>
        <w:rPr>
          <w:rFonts w:hint="default" w:ascii="Times New Roman" w:hAnsi="Times New Roman" w:eastAsia="仿宋" w:cs="Times New Roman"/>
          <w:b/>
          <w:bCs/>
          <w:color w:val="auto"/>
          <w:kern w:val="2"/>
          <w:sz w:val="32"/>
          <w:szCs w:val="40"/>
          <w:lang w:val="en-US" w:eastAsia="zh-CN" w:bidi="ar-SA"/>
        </w:rPr>
        <w:t>三、加强岭南特色林业生态文化研究与传承</w:t>
      </w:r>
    </w:p>
    <w:p w14:paraId="673FBB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系统梳理广府、客家、潮汕文化中的人与自然和谐理念，开展岭南林业生态文化理论研究与学术交流。加强古树名木、古驿道、传统村落等生态文化遗产的保护与活化利用，推动与中华优秀传统生态文化的有机融合。</w:t>
      </w:r>
    </w:p>
    <w:p w14:paraId="13E4B91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9"/>
        <w:rPr>
          <w:rFonts w:hint="default" w:ascii="Times New Roman" w:hAnsi="Times New Roman" w:eastAsia="黑体" w:cs="Times New Roman"/>
          <w:b w:val="0"/>
          <w:bCs w:val="0"/>
          <w:color w:val="auto"/>
          <w:kern w:val="2"/>
          <w:sz w:val="32"/>
          <w:szCs w:val="40"/>
          <w:lang w:val="en-US" w:eastAsia="zh-CN" w:bidi="ar-SA"/>
        </w:rPr>
      </w:pPr>
    </w:p>
    <w:p w14:paraId="2E95F3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9"/>
        <w:rPr>
          <w:rFonts w:hint="default" w:ascii="Times New Roman" w:hAnsi="Times New Roman" w:eastAsia="黑体" w:cs="Times New Roman"/>
          <w:b w:val="0"/>
          <w:bCs w:val="0"/>
          <w:color w:val="auto"/>
          <w:kern w:val="2"/>
          <w:sz w:val="32"/>
          <w:szCs w:val="40"/>
          <w:lang w:val="en-US" w:eastAsia="zh-CN" w:bidi="ar-SA"/>
        </w:rPr>
      </w:pPr>
    </w:p>
    <w:p w14:paraId="5C7953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79" w:name="_Toc7015"/>
      <w:r>
        <w:rPr>
          <w:rFonts w:hint="default" w:ascii="Times New Roman" w:hAnsi="Times New Roman" w:eastAsia="黑体" w:cs="Times New Roman"/>
          <w:b w:val="0"/>
          <w:bCs w:val="0"/>
          <w:color w:val="auto"/>
          <w:kern w:val="2"/>
          <w:sz w:val="32"/>
          <w:szCs w:val="40"/>
          <w:lang w:val="en-US" w:eastAsia="zh-CN" w:bidi="ar-SA"/>
        </w:rPr>
        <w:t xml:space="preserve">第二节 </w:t>
      </w:r>
      <w:r>
        <w:rPr>
          <w:rFonts w:hint="default" w:ascii="Times New Roman" w:hAnsi="Times New Roman" w:eastAsia="黑体" w:cs="Times New Roman"/>
          <w:b w:val="0"/>
          <w:bCs w:val="0"/>
          <w:color w:val="auto"/>
          <w:sz w:val="32"/>
          <w:szCs w:val="40"/>
          <w:highlight w:val="none"/>
          <w:lang w:val="en-US" w:eastAsia="zh-CN"/>
        </w:rPr>
        <w:t>推进全民参与生态建设</w:t>
      </w:r>
      <w:bookmarkEnd w:id="79"/>
    </w:p>
    <w:p w14:paraId="16C27B42">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一、</w:t>
      </w:r>
      <w:r>
        <w:rPr>
          <w:rFonts w:hint="default" w:ascii="Times New Roman" w:hAnsi="Times New Roman" w:eastAsia="仿宋" w:cs="Times New Roman"/>
          <w:b/>
          <w:bCs/>
          <w:color w:val="auto"/>
          <w:sz w:val="32"/>
          <w:szCs w:val="40"/>
          <w:highlight w:val="none"/>
          <w:lang w:val="en-US" w:eastAsia="zh-CN"/>
        </w:rPr>
        <w:t>倡导全民爱绿植绿护绿新风尚</w:t>
      </w:r>
    </w:p>
    <w:p w14:paraId="1F22D5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唱响“我为广东种棵树”主旋律，开展省市县林长联动义务植树，高标准建设义务植树尽责接待点，营造“春种、夏捐、秋抚、冬耕”的义务植树尽责氛围。深耕“认种一棵树”小程序，开展“有喜事来种树”等各类主题活动，建立义务植树激励机制，颁发证书、授予荣誉称号，增强荣誉感与责任感。</w:t>
      </w:r>
    </w:p>
    <w:p w14:paraId="667A019C">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二、</w:t>
      </w:r>
      <w:r>
        <w:rPr>
          <w:rFonts w:hint="default" w:ascii="Times New Roman" w:hAnsi="Times New Roman" w:eastAsia="仿宋" w:cs="Times New Roman"/>
          <w:b/>
          <w:bCs/>
          <w:color w:val="auto"/>
          <w:sz w:val="32"/>
          <w:szCs w:val="40"/>
          <w:highlight w:val="none"/>
          <w:lang w:val="en-US" w:eastAsia="zh-CN"/>
        </w:rPr>
        <w:t>推动社会组织绿美公益创投</w:t>
      </w:r>
    </w:p>
    <w:p w14:paraId="532EFE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kern w:val="2"/>
          <w:sz w:val="32"/>
          <w:szCs w:val="32"/>
          <w:highlight w:val="none"/>
          <w:lang w:val="en-US" w:eastAsia="zh-CN" w:bidi="ar-SA"/>
        </w:rPr>
        <w:t>联合民政系统推行绿美广东生态建设“揭榜挂帅”公益创投。紧扣绿美广东核心任务发布项目“需求榜单”。通过竞争选择、优中选优方式遴选社会组织“揭榜挂帅”，以优质项目示范引领社会公众参与绿美广东生态建设。</w:t>
      </w:r>
    </w:p>
    <w:p w14:paraId="656F337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80" w:name="_Toc10184"/>
      <w:r>
        <w:rPr>
          <w:rFonts w:hint="default" w:ascii="Times New Roman" w:hAnsi="Times New Roman" w:eastAsia="黑体" w:cs="Times New Roman"/>
          <w:b w:val="0"/>
          <w:bCs w:val="0"/>
          <w:color w:val="auto"/>
          <w:kern w:val="2"/>
          <w:sz w:val="32"/>
          <w:szCs w:val="40"/>
          <w:lang w:val="en-US" w:eastAsia="zh-CN" w:bidi="ar-SA"/>
        </w:rPr>
        <w:t xml:space="preserve">第三节 </w:t>
      </w:r>
      <w:r>
        <w:rPr>
          <w:rFonts w:hint="default" w:ascii="Times New Roman" w:hAnsi="Times New Roman" w:eastAsia="黑体" w:cs="Times New Roman"/>
          <w:b w:val="0"/>
          <w:bCs w:val="0"/>
          <w:color w:val="auto"/>
          <w:sz w:val="32"/>
          <w:szCs w:val="40"/>
          <w:highlight w:val="none"/>
          <w:lang w:val="en-US" w:eastAsia="zh-CN"/>
        </w:rPr>
        <w:t>健全自然教育体系</w:t>
      </w:r>
      <w:bookmarkEnd w:id="80"/>
    </w:p>
    <w:p w14:paraId="284D4D4B">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一、</w:t>
      </w:r>
      <w:r>
        <w:rPr>
          <w:rFonts w:hint="default" w:ascii="Times New Roman" w:hAnsi="Times New Roman" w:eastAsia="仿宋" w:cs="Times New Roman"/>
          <w:b/>
          <w:bCs/>
          <w:color w:val="auto"/>
          <w:sz w:val="32"/>
          <w:szCs w:val="40"/>
          <w:highlight w:val="none"/>
          <w:lang w:val="en-US" w:eastAsia="zh-CN"/>
        </w:rPr>
        <w:t>加强自然教育品牌建设</w:t>
      </w:r>
    </w:p>
    <w:p w14:paraId="552853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发挥全国自然教育示范省引领作用，持续擦亮粤港澳自然教育品牌。打造差异化自然教育品牌，其中：珠三角地区打造都市生态与绿色创新主题自然教育品牌；沿海地区打造湿地保护</w:t>
      </w:r>
      <w:r>
        <w:rPr>
          <w:rFonts w:hint="default" w:ascii="Times New Roman" w:hAnsi="Times New Roman" w:eastAsia="仿宋" w:cs="Times New Roman"/>
          <w:b w:val="0"/>
          <w:bCs w:val="0"/>
          <w:color w:val="auto"/>
          <w:kern w:val="2"/>
          <w:sz w:val="32"/>
          <w:szCs w:val="32"/>
          <w:highlight w:val="none"/>
          <w:lang w:val="en-US" w:eastAsia="zh" w:bidi="ar-SA"/>
        </w:rPr>
        <w:t>主题</w:t>
      </w:r>
      <w:r>
        <w:rPr>
          <w:rFonts w:hint="default" w:ascii="Times New Roman" w:hAnsi="Times New Roman" w:eastAsia="仿宋" w:cs="Times New Roman"/>
          <w:b w:val="0"/>
          <w:bCs w:val="0"/>
          <w:color w:val="auto"/>
          <w:kern w:val="2"/>
          <w:sz w:val="32"/>
          <w:szCs w:val="32"/>
          <w:highlight w:val="none"/>
          <w:lang w:val="en-US" w:eastAsia="zh-CN" w:bidi="ar-SA"/>
        </w:rPr>
        <w:t>自然教育品牌；粤北地区打造森林体验</w:t>
      </w:r>
      <w:r>
        <w:rPr>
          <w:rFonts w:hint="default" w:ascii="Times New Roman" w:hAnsi="Times New Roman" w:eastAsia="仿宋" w:cs="Times New Roman"/>
          <w:b w:val="0"/>
          <w:bCs w:val="0"/>
          <w:color w:val="auto"/>
          <w:kern w:val="2"/>
          <w:sz w:val="32"/>
          <w:szCs w:val="32"/>
          <w:highlight w:val="none"/>
          <w:lang w:val="en-US" w:eastAsia="zh" w:bidi="ar-SA"/>
        </w:rPr>
        <w:t>主题</w:t>
      </w:r>
      <w:r>
        <w:rPr>
          <w:rFonts w:hint="default" w:ascii="Times New Roman" w:hAnsi="Times New Roman" w:eastAsia="仿宋" w:cs="Times New Roman"/>
          <w:b w:val="0"/>
          <w:bCs w:val="0"/>
          <w:color w:val="auto"/>
          <w:kern w:val="2"/>
          <w:sz w:val="32"/>
          <w:szCs w:val="32"/>
          <w:highlight w:val="none"/>
          <w:lang w:val="en-US" w:eastAsia="zh-CN" w:bidi="ar-SA"/>
        </w:rPr>
        <w:t>自然教育品牌。</w:t>
      </w:r>
    </w:p>
    <w:p w14:paraId="0A542A11">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二、</w:t>
      </w:r>
      <w:r>
        <w:rPr>
          <w:rFonts w:hint="default" w:ascii="Times New Roman" w:hAnsi="Times New Roman" w:eastAsia="仿宋" w:cs="Times New Roman"/>
          <w:b/>
          <w:bCs/>
          <w:color w:val="auto"/>
          <w:sz w:val="32"/>
          <w:szCs w:val="40"/>
          <w:highlight w:val="none"/>
          <w:lang w:val="en-US" w:eastAsia="zh-CN"/>
        </w:rPr>
        <w:t>加强自然教育基地建设</w:t>
      </w:r>
    </w:p>
    <w:p w14:paraId="5C4A88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kern w:val="2"/>
          <w:sz w:val="32"/>
          <w:szCs w:val="32"/>
          <w:highlight w:val="none"/>
          <w:lang w:val="en-US" w:eastAsia="zh-CN" w:bidi="ar-SA"/>
        </w:rPr>
        <w:t>对接粤港澳大湾区等区域市场，推动现有基地提质升级，建设高品质自然教育基地，推动自然教育与旅游、文创深度融合。在自然保护地、国有林场等建设自然教育宣教中心，建设自然教育基地50个、高品质自然教育基地20个、自然教育场馆50个、特色自然教育径50条。</w:t>
      </w:r>
    </w:p>
    <w:p w14:paraId="65A39B7F">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三、加强自然教育标准体系建设</w:t>
      </w:r>
    </w:p>
    <w:p w14:paraId="6FB241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加快自然教育标准体系建设，建立科学规范的质量指引，提升自然教育服务的专业化、标准化水平。推进粤港澳大湾区自然教育标准协同，联合港澳探索标准互认机制，在基础设施建设、课程设计、志愿服务等核心领域形成三地共识框架，促进粤港澳自然教育资源的深度整合与品牌共建。</w:t>
      </w:r>
    </w:p>
    <w:p w14:paraId="6DC9CC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81" w:name="_Toc8614"/>
      <w:r>
        <w:rPr>
          <w:rFonts w:hint="default" w:ascii="Times New Roman" w:hAnsi="Times New Roman" w:eastAsia="黑体" w:cs="Times New Roman"/>
          <w:b w:val="0"/>
          <w:bCs w:val="0"/>
          <w:color w:val="auto"/>
          <w:kern w:val="2"/>
          <w:sz w:val="32"/>
          <w:szCs w:val="40"/>
          <w:lang w:val="en-US" w:eastAsia="zh-CN" w:bidi="ar-SA"/>
        </w:rPr>
        <w:t xml:space="preserve">第四节 </w:t>
      </w:r>
      <w:r>
        <w:rPr>
          <w:rFonts w:hint="default" w:ascii="Times New Roman" w:hAnsi="Times New Roman" w:eastAsia="黑体" w:cs="Times New Roman"/>
          <w:b w:val="0"/>
          <w:bCs w:val="0"/>
          <w:color w:val="auto"/>
          <w:sz w:val="32"/>
          <w:szCs w:val="40"/>
          <w:highlight w:val="none"/>
          <w:lang w:val="en-US" w:eastAsia="zh-CN"/>
        </w:rPr>
        <w:t>丰富文化体验场景</w:t>
      </w:r>
      <w:bookmarkEnd w:id="81"/>
    </w:p>
    <w:p w14:paraId="1B5043C6">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一、</w:t>
      </w:r>
      <w:r>
        <w:rPr>
          <w:rFonts w:hint="default" w:ascii="Times New Roman" w:hAnsi="Times New Roman" w:eastAsia="仿宋" w:cs="Times New Roman"/>
          <w:b/>
          <w:bCs/>
          <w:color w:val="auto"/>
          <w:sz w:val="32"/>
          <w:szCs w:val="40"/>
          <w:highlight w:val="none"/>
          <w:lang w:val="en-US" w:eastAsia="zh-CN"/>
        </w:rPr>
        <w:t>打造多元生态文化体验空间</w:t>
      </w:r>
    </w:p>
    <w:p w14:paraId="07E225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kern w:val="2"/>
          <w:sz w:val="32"/>
          <w:szCs w:val="32"/>
          <w:highlight w:val="none"/>
          <w:lang w:val="en-US" w:eastAsia="zh-CN" w:bidi="ar-SA"/>
        </w:rPr>
        <w:t>鼓励国有林场、自然保护地建设宣教中心、自然教育中心、生态文化展示厅、标本馆等场馆及室外设施30个。利用现有绿道、碧道、古驿道及南粤红绿径等线性空间打造森林步道20条。积极引导发展观鸟、赏花和植物手绘等公众喜爱的新业态。</w:t>
      </w:r>
    </w:p>
    <w:p w14:paraId="11740D61">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二、</w:t>
      </w:r>
      <w:r>
        <w:rPr>
          <w:rFonts w:hint="default" w:ascii="Times New Roman" w:hAnsi="Times New Roman" w:eastAsia="仿宋" w:cs="Times New Roman"/>
          <w:b/>
          <w:bCs/>
          <w:color w:val="auto"/>
          <w:sz w:val="32"/>
          <w:szCs w:val="40"/>
          <w:highlight w:val="none"/>
          <w:lang w:val="en-US" w:eastAsia="zh-CN"/>
        </w:rPr>
        <w:t>创新生态文化体验形式​</w:t>
      </w:r>
    </w:p>
    <w:p w14:paraId="7C17A6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kern w:val="2"/>
          <w:sz w:val="32"/>
          <w:szCs w:val="32"/>
          <w:highlight w:val="none"/>
          <w:lang w:val="en-US" w:eastAsia="zh-CN" w:bidi="ar-SA"/>
        </w:rPr>
      </w:pPr>
      <w:r>
        <w:rPr>
          <w:rFonts w:hint="default" w:ascii="Times New Roman" w:hAnsi="Times New Roman" w:eastAsia="仿宋" w:cs="Times New Roman"/>
          <w:b w:val="0"/>
          <w:bCs w:val="0"/>
          <w:color w:val="auto"/>
          <w:kern w:val="2"/>
          <w:sz w:val="32"/>
          <w:szCs w:val="32"/>
          <w:highlight w:val="none"/>
          <w:lang w:val="en-US" w:eastAsia="zh-CN" w:bidi="ar-SA"/>
        </w:rPr>
        <w:t>举办森林文化周、世界湿地日、爱鸟周、保护野生动物宣传月等特色活动。重点推动森林音乐节、森林绘画写生等新型体验，鼓励创作森林文化主题文艺精品。开发具有地域性和独创性的文旅体验产品20个，培育生态文化服务品牌10个，设计林业生态文化旅游线路10条。</w:t>
      </w:r>
    </w:p>
    <w:p w14:paraId="4205A20A">
      <w:pPr>
        <w:pStyle w:val="15"/>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left="0" w:leftChars="0" w:firstLine="643" w:firstLineChars="200"/>
        <w:textAlignment w:val="auto"/>
        <w:outlineLvl w:val="2"/>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kern w:val="2"/>
          <w:sz w:val="32"/>
          <w:szCs w:val="40"/>
          <w:lang w:val="en-US" w:eastAsia="zh-CN" w:bidi="ar-SA"/>
        </w:rPr>
        <w:t>三、</w:t>
      </w:r>
      <w:r>
        <w:rPr>
          <w:rFonts w:hint="default" w:ascii="Times New Roman" w:hAnsi="Times New Roman" w:eastAsia="仿宋" w:cs="Times New Roman"/>
          <w:b/>
          <w:bCs/>
          <w:color w:val="auto"/>
          <w:sz w:val="32"/>
          <w:szCs w:val="40"/>
          <w:highlight w:val="none"/>
          <w:lang w:val="en-US" w:eastAsia="zh-CN"/>
        </w:rPr>
        <w:t>培育生态文化体验产品</w:t>
      </w:r>
    </w:p>
    <w:p w14:paraId="574C8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b w:val="0"/>
          <w:bCs w:val="0"/>
          <w:color w:val="auto"/>
          <w:kern w:val="2"/>
          <w:sz w:val="32"/>
          <w:szCs w:val="32"/>
          <w:highlight w:val="none"/>
          <w:lang w:val="en-US" w:eastAsia="zh-CN" w:bidi="ar-SA"/>
        </w:rPr>
        <w:t>推动生态文化与南药文化、森林康养、生态旅游等多元业态深度融合，培育南岭国家公园、丹霞山国家公园、万绿湖世界级“湖泊+”绿色发展区等生态文化品牌。培育云旅游、云展览，运用VR/AR技术开发沉浸式“数字生态漫游”体验产品，让生态文化可观可感、可触可及。</w:t>
      </w:r>
    </w:p>
    <w:p w14:paraId="7F8F265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color w:val="auto"/>
          <w:sz w:val="21"/>
          <w:szCs w:val="24"/>
          <w:highlight w:val="none"/>
          <w:lang w:val="en-US" w:eastAsia="zh-CN"/>
        </w:rPr>
        <w:sectPr>
          <w:pgSz w:w="11906" w:h="16838"/>
          <w:pgMar w:top="1440" w:right="1800" w:bottom="1440" w:left="1800" w:header="851" w:footer="992" w:gutter="0"/>
          <w:cols w:space="425" w:num="1"/>
          <w:docGrid w:type="lines" w:linePitch="312" w:charSpace="0"/>
        </w:sectPr>
      </w:pPr>
    </w:p>
    <w:p w14:paraId="524AA11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0"/>
        <w:rPr>
          <w:rFonts w:hint="default" w:ascii="Times New Roman" w:hAnsi="Times New Roman" w:eastAsia="黑体" w:cs="Times New Roman"/>
          <w:b/>
          <w:bCs/>
          <w:color w:val="auto"/>
          <w:sz w:val="32"/>
          <w:szCs w:val="40"/>
          <w:highlight w:val="none"/>
          <w:lang w:val="en-US" w:eastAsia="zh-CN"/>
        </w:rPr>
      </w:pPr>
      <w:bookmarkStart w:id="82" w:name="_Toc24957"/>
      <w:r>
        <w:rPr>
          <w:rFonts w:hint="default" w:ascii="Times New Roman" w:hAnsi="Times New Roman" w:eastAsia="黑体" w:cs="Times New Roman"/>
          <w:b/>
          <w:bCs/>
          <w:color w:val="auto"/>
          <w:sz w:val="32"/>
          <w:szCs w:val="40"/>
          <w:highlight w:val="none"/>
          <w:lang w:val="en-US" w:eastAsia="zh-CN"/>
        </w:rPr>
        <w:t>第十章 强化规划实施保障，确保蓝图落地见效</w:t>
      </w:r>
      <w:bookmarkEnd w:id="82"/>
    </w:p>
    <w:p w14:paraId="2AB8451B">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83" w:name="_Toc14935"/>
      <w:r>
        <w:rPr>
          <w:rFonts w:hint="default" w:ascii="Times New Roman" w:hAnsi="Times New Roman" w:eastAsia="黑体" w:cs="Times New Roman"/>
          <w:b w:val="0"/>
          <w:bCs w:val="0"/>
          <w:color w:val="auto"/>
          <w:sz w:val="32"/>
          <w:szCs w:val="40"/>
          <w:highlight w:val="none"/>
          <w:lang w:val="en-US" w:eastAsia="zh-CN"/>
        </w:rPr>
        <w:t>第一节 加强党的全面领导</w:t>
      </w:r>
      <w:bookmarkEnd w:id="83"/>
    </w:p>
    <w:p w14:paraId="6364B7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充分发挥党总揽全局、协调各方的领导核心作用，</w:t>
      </w:r>
      <w:r>
        <w:rPr>
          <w:rFonts w:hint="default" w:ascii="Times New Roman" w:hAnsi="Times New Roman" w:eastAsia="仿宋" w:cs="Times New Roman"/>
          <w:color w:val="auto"/>
          <w:kern w:val="0"/>
          <w:sz w:val="32"/>
          <w:szCs w:val="32"/>
          <w:highlight w:val="none"/>
          <w:lang w:val="en-US" w:eastAsia="zh-CN"/>
        </w:rPr>
        <w:t>树立和践行正确政绩观，以钉钉子精神抓落实，推动规划落地生根。各级党委、政府要切实加强对林业工作的组织领导，各级林业主管部门要</w:t>
      </w:r>
      <w:r>
        <w:rPr>
          <w:rFonts w:hint="default" w:ascii="Times New Roman" w:hAnsi="Times New Roman" w:eastAsia="仿宋" w:cs="Times New Roman"/>
          <w:b w:val="0"/>
          <w:bCs w:val="0"/>
          <w:color w:val="auto"/>
          <w:sz w:val="32"/>
          <w:szCs w:val="32"/>
          <w:highlight w:val="none"/>
          <w:lang w:val="en-US" w:eastAsia="zh-CN"/>
        </w:rPr>
        <w:t>牢固树立大局意识，发挥</w:t>
      </w:r>
      <w:r>
        <w:rPr>
          <w:rFonts w:hint="default" w:ascii="Times New Roman" w:hAnsi="Times New Roman" w:eastAsia="仿宋" w:cs="Times New Roman"/>
          <w:color w:val="auto"/>
          <w:kern w:val="0"/>
          <w:sz w:val="32"/>
          <w:szCs w:val="32"/>
          <w:highlight w:val="none"/>
          <w:lang w:val="en-US" w:eastAsia="zh-CN"/>
        </w:rPr>
        <w:t>主导作用，</w:t>
      </w:r>
      <w:r>
        <w:rPr>
          <w:rFonts w:hint="default" w:ascii="Times New Roman" w:hAnsi="Times New Roman" w:eastAsia="仿宋" w:cs="Times New Roman"/>
          <w:b w:val="0"/>
          <w:bCs w:val="0"/>
          <w:color w:val="auto"/>
          <w:sz w:val="32"/>
          <w:szCs w:val="32"/>
          <w:highlight w:val="none"/>
          <w:lang w:val="en-US" w:eastAsia="zh-CN"/>
        </w:rPr>
        <w:t>整合资源，形成合力，将规划蓝图转化为发展实景。</w:t>
      </w:r>
    </w:p>
    <w:p w14:paraId="4FC26DD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84" w:name="_Toc17563"/>
      <w:r>
        <w:rPr>
          <w:rFonts w:hint="default" w:ascii="Times New Roman" w:hAnsi="Times New Roman" w:eastAsia="黑体" w:cs="Times New Roman"/>
          <w:b w:val="0"/>
          <w:bCs w:val="0"/>
          <w:color w:val="auto"/>
          <w:sz w:val="32"/>
          <w:szCs w:val="40"/>
          <w:highlight w:val="none"/>
          <w:lang w:val="en-US" w:eastAsia="zh-CN"/>
        </w:rPr>
        <w:t>第二节 推进规划体系建设</w:t>
      </w:r>
      <w:bookmarkEnd w:id="84"/>
    </w:p>
    <w:p w14:paraId="74E7F2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充分发挥全省林业发展规划的战略引领和导向作用，做好与上位规划、同级相关规划的有机衔接，加强同国土绿化空间规划和各专项实施方案的协同，推进重点县的国土绿化空间规划的编制，健全完善全省林业统一规划体系。将规划作为用途管制、项目任务布局、资金安排、政策集成的依据。</w:t>
      </w:r>
    </w:p>
    <w:p w14:paraId="2C5AD17B">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85" w:name="_Toc3460"/>
      <w:r>
        <w:rPr>
          <w:rFonts w:hint="default" w:ascii="Times New Roman" w:hAnsi="Times New Roman" w:eastAsia="黑体" w:cs="Times New Roman"/>
          <w:b w:val="0"/>
          <w:bCs w:val="0"/>
          <w:color w:val="auto"/>
          <w:sz w:val="32"/>
          <w:szCs w:val="40"/>
          <w:highlight w:val="none"/>
          <w:lang w:val="en-US" w:eastAsia="zh-CN"/>
        </w:rPr>
        <w:t>第三节 健全规划实施机制</w:t>
      </w:r>
      <w:bookmarkEnd w:id="85"/>
    </w:p>
    <w:p w14:paraId="162A9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切实维护规划的权威性和严肃性，发挥林长制对规划实施的督导作用，建立健全规划传导机制。充分运用大数据、信息化等技术手段，加强规划全生命周期管理，建立规划项目动态调整机制。落实规划实施责任，完善规划评估机制，强化评估结果运用。</w:t>
      </w:r>
    </w:p>
    <w:p w14:paraId="320610A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firstLine="0" w:firstLineChars="0"/>
        <w:jc w:val="center"/>
        <w:textAlignment w:val="auto"/>
        <w:outlineLvl w:val="1"/>
        <w:rPr>
          <w:rFonts w:hint="default" w:ascii="Times New Roman" w:hAnsi="Times New Roman" w:eastAsia="黑体" w:cs="Times New Roman"/>
          <w:b w:val="0"/>
          <w:bCs w:val="0"/>
          <w:color w:val="auto"/>
          <w:sz w:val="32"/>
          <w:szCs w:val="40"/>
          <w:highlight w:val="none"/>
          <w:lang w:val="en-US" w:eastAsia="zh-CN"/>
        </w:rPr>
      </w:pPr>
      <w:bookmarkStart w:id="86" w:name="_Toc18715"/>
      <w:r>
        <w:rPr>
          <w:rFonts w:hint="default" w:ascii="Times New Roman" w:hAnsi="Times New Roman" w:eastAsia="黑体" w:cs="Times New Roman"/>
          <w:b w:val="0"/>
          <w:bCs w:val="0"/>
          <w:color w:val="auto"/>
          <w:sz w:val="32"/>
          <w:szCs w:val="40"/>
          <w:highlight w:val="none"/>
          <w:lang w:val="en-US" w:eastAsia="zh-CN"/>
        </w:rPr>
        <w:t>第四节 强化政策和资金保障</w:t>
      </w:r>
      <w:bookmarkEnd w:id="86"/>
    </w:p>
    <w:p w14:paraId="7757E3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default" w:ascii="Times New Roman" w:hAnsi="Times New Roman" w:eastAsia="仿宋" w:cs="Times New Roman"/>
          <w:b w:val="0"/>
          <w:bCs w:val="0"/>
          <w:color w:val="auto"/>
          <w:sz w:val="32"/>
          <w:szCs w:val="32"/>
          <w:highlight w:val="none"/>
          <w:lang w:val="en-US" w:eastAsia="zh-CN"/>
        </w:rPr>
        <w:t>加强财政预算与规划衔接协调，确保行业内公共政策的制定要服务于规划的实施。强化财政资金对林业重点工程的保障力度。充分发挥南粤绿美生态投资基金的支撑作用，鼓励和引导社会资本参与林业建设，建立健全林业资金全过程使用管理制度。</w:t>
      </w:r>
    </w:p>
    <w:bookmarkEnd w:id="46"/>
    <w:p w14:paraId="794D0CA4">
      <w:pPr>
        <w:rPr>
          <w:rFonts w:hint="default" w:ascii="Times New Roman" w:hAnsi="Times New Roman" w:eastAsia="黑体"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br w:type="page"/>
      </w:r>
    </w:p>
    <w:p w14:paraId="0CD33E06">
      <w:pPr>
        <w:pStyle w:val="2"/>
        <w:bidi w:val="0"/>
        <w:jc w:val="center"/>
        <w:rPr>
          <w:rFonts w:hint="default" w:ascii="Times New Roman" w:hAnsi="Times New Roman" w:eastAsia="黑体" w:cs="Times New Roman"/>
          <w:b/>
          <w:bCs/>
          <w:color w:val="auto"/>
          <w:sz w:val="32"/>
          <w:szCs w:val="32"/>
          <w:lang w:val="en-US" w:eastAsia="zh-CN"/>
        </w:rPr>
      </w:pPr>
      <w:bookmarkStart w:id="87" w:name="_Toc11025"/>
      <w:r>
        <w:rPr>
          <w:rFonts w:hint="default" w:ascii="Times New Roman" w:hAnsi="Times New Roman" w:eastAsia="黑体" w:cs="Times New Roman"/>
          <w:b/>
          <w:bCs/>
          <w:color w:val="auto"/>
          <w:sz w:val="32"/>
          <w:szCs w:val="32"/>
          <w:lang w:val="en-US" w:eastAsia="zh-CN"/>
        </w:rPr>
        <w:t>附录  主要指标说明</w:t>
      </w:r>
      <w:bookmarkEnd w:id="87"/>
    </w:p>
    <w:p w14:paraId="70750BD7">
      <w:pPr>
        <w:pStyle w:val="27"/>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森林覆盖率</w:t>
      </w:r>
    </w:p>
    <w:p w14:paraId="18FCFD7B">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（1）设立依据</w:t>
      </w:r>
    </w:p>
    <w:p w14:paraId="0BF0C99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中华人民共和国森林法》（2020年修订）第三章第二十四条，明确“县级以上人民政府应当制定森林资源保护发展目标，提高森林覆盖率、森林蓄积量，提升森林生态系统质量和稳定性”并将森林覆盖率定为法定核心生态指标。延续《广东省林业发展“十四五”规划》约束性属性，严守生态保护底线。</w:t>
      </w:r>
    </w:p>
    <w:p w14:paraId="64C37CE3">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（2）计算说明</w:t>
      </w:r>
    </w:p>
    <w:p w14:paraId="5CC0D401">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指行政区域内森林面积占陆域国土面积的比例。</w:t>
      </w:r>
    </w:p>
    <w:p w14:paraId="1EBC88A0">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计算公式：森林覆盖率（%）=（森林面积/陆域国土面积）×100%；其中森林面积=乔木林面积+竹林面积+国家特别规定灌木林面积。</w:t>
      </w:r>
    </w:p>
    <w:p w14:paraId="68B42150">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（3）可达性分析</w:t>
      </w:r>
    </w:p>
    <w:p w14:paraId="4A5EB461">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snapToGrid w:val="0"/>
          <w:color w:val="auto"/>
          <w:kern w:val="0"/>
          <w:sz w:val="32"/>
          <w:szCs w:val="32"/>
          <w:u w:val="none" w:color="auto"/>
          <w:lang w:val="en-US" w:eastAsia="zh-CN"/>
        </w:rPr>
        <w:t>2020-2024年，全省森林覆盖率分别为58.66%、53.03%、53.21%、53.39%、未公布。“十五五”期间，预测消耗森林面积**万公顷，新增森林面积**万公顷，按照森林覆盖率计算公式，到2030年，全省森林覆盖率为**%。</w:t>
      </w:r>
    </w:p>
    <w:p w14:paraId="69793DF8">
      <w:pPr>
        <w:pStyle w:val="27"/>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森林蓄积量</w:t>
      </w:r>
    </w:p>
    <w:p w14:paraId="2683B0A2">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（1）设立依据</w:t>
      </w:r>
    </w:p>
    <w:p w14:paraId="238E87C3">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中华人民共和国森林法》（2020年修订）第三章第二十四条将其与森林覆盖率并列列为国家级约束性指标，要求“县级以上人民政府应当制定森林资源保护发展目标，提高森林覆盖率、森林蓄积量，提升森林生态系统质量和稳定性”。延续《广东省林业发展“十四五”规划》约束性属性，旨在通过蓄积量增长，提升森林固碳能力，契合“双碳”目标及木材安全战略。</w:t>
      </w:r>
    </w:p>
    <w:p w14:paraId="7A5F7DA5">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（2）计算说明</w:t>
      </w:r>
    </w:p>
    <w:p w14:paraId="3C557207">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指行政区域内森林面积范围内现有林木材积的总量。统计范围涵盖行政区域内所有乔木林、竹林林木材积总和。</w:t>
      </w:r>
    </w:p>
    <w:p w14:paraId="2EAAA96D">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根据林业资源连续清查等专业调查方法核算。</w:t>
      </w:r>
    </w:p>
    <w:p w14:paraId="545AF607">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（3）可达性分析</w:t>
      </w:r>
    </w:p>
    <w:p w14:paraId="7B6A7312">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snapToGrid w:val="0"/>
          <w:color w:val="auto"/>
          <w:kern w:val="0"/>
          <w:sz w:val="32"/>
          <w:szCs w:val="32"/>
          <w:u w:val="none" w:color="auto"/>
          <w:lang w:val="en-US" w:eastAsia="zh-CN"/>
        </w:rPr>
      </w:pPr>
      <w:r>
        <w:rPr>
          <w:rFonts w:hint="default" w:ascii="Times New Roman" w:hAnsi="Times New Roman" w:eastAsia="仿宋" w:cs="Times New Roman"/>
          <w:snapToGrid w:val="0"/>
          <w:color w:val="auto"/>
          <w:kern w:val="0"/>
          <w:sz w:val="32"/>
          <w:szCs w:val="32"/>
          <w:u w:val="none" w:color="auto"/>
          <w:lang w:val="en-US" w:eastAsia="zh-CN"/>
        </w:rPr>
        <w:t>2020-2024年，全省森林蓄积量分别是5.84亿立方米、5.78亿立方米、6.04亿立方米、6.57亿立方米、7.04亿立方米。广东省森林蓄积量以2024年7.04亿立方米为基数，按森林蓄积量年均增长率1.9%测算，2030年我省森林蓄积量目标值为7.88亿立方米（国家目标为7.65亿立方米），2035年森林蓄积量测算为8.65亿立方米。</w:t>
      </w:r>
    </w:p>
    <w:p w14:paraId="7121560B">
      <w:pPr>
        <w:pStyle w:val="27"/>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混交林比例</w:t>
      </w:r>
    </w:p>
    <w:p w14:paraId="5941BD70">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（1）设立依据</w:t>
      </w:r>
    </w:p>
    <w:p w14:paraId="2A5C6E09">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全国森林经营规划（2016-2050年）》提出，“到2050年，混交林面积比例达到65%以上”，将其作为提升森林抗逆性的核心指标。《中共广东省委关于深入推进绿美广东生态建设的决定》明确到2035年全省混交林比例达到60%以上。“十五五”期末设定55%的预期性目标，是衔接国家长期规划与地方中期目标的合理过渡。</w:t>
      </w:r>
    </w:p>
    <w:p w14:paraId="31C1A96F">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（2）计算说明</w:t>
      </w:r>
    </w:p>
    <w:p w14:paraId="7D700D71">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指行政区域内混交林面积占森林总面积的百分比。</w:t>
      </w:r>
    </w:p>
    <w:p w14:paraId="6ADEA046">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计算公式：混交林比例（%）=（混交林面积/森林总面积）×100%。</w:t>
      </w:r>
    </w:p>
    <w:p w14:paraId="7ED075CC">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（3）可达性分析</w:t>
      </w:r>
    </w:p>
    <w:p w14:paraId="2C71CF92">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snapToGrid w:val="0"/>
          <w:color w:val="auto"/>
          <w:kern w:val="0"/>
          <w:sz w:val="32"/>
          <w:szCs w:val="32"/>
          <w:u w:val="none" w:color="auto"/>
          <w:lang w:val="en-US" w:eastAsia="zh-CN"/>
        </w:rPr>
        <w:t>2022年底，全省混交林比例为48.17%，2025年底，混交林比例为55.24%，“十五五”期间，计划改造针叶纯林**万公顷、桉树纯林**万公顷、其他纯林**万公顷，新增混交林**万公顷，到2030年，全省混交林比例可达到**%。</w:t>
      </w:r>
    </w:p>
    <w:p w14:paraId="244C8095">
      <w:pPr>
        <w:pStyle w:val="27"/>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国家级自然保护地面积占比</w:t>
      </w:r>
    </w:p>
    <w:p w14:paraId="7F99A0D1">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（1）设立依据</w:t>
      </w:r>
    </w:p>
    <w:p w14:paraId="2D53A6E7">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关于建立以国家公园为主体的自然保护地体系的指导意见》提出“到2035年，自然保护地规模和管理达到世界先进水平，全面建成中国特色自然保护地体系。自然保护地占陆域国土面积18%以上。”《中共广东省委办公厅 广东省人民政府办公厅关于建立以国家公园为主体的自然保护地体系的实施意见》提出“到2035年，自然保护地陆域部分占省陆域国土面积15％以上。”《广东省自然保护地体系建设规划（2020-2035年）》提出“到2035年，陆域自然保护地占陆域国土面积比例达15％。”根据国家关于自然保护地整合优化的相关政策，我省自然保护地从“数量型”向“质量型”转变，着重提升国家级自然保护地面积占自然保护地总面积的比例。</w:t>
      </w:r>
    </w:p>
    <w:p w14:paraId="031BE84A">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（2）计算说明</w:t>
      </w:r>
    </w:p>
    <w:p w14:paraId="5FED689A">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指行政区域内国家级自然保护地总面积占</w:t>
      </w:r>
      <w:r>
        <w:rPr>
          <w:rFonts w:hint="default" w:ascii="Times New Roman" w:hAnsi="Times New Roman" w:eastAsia="仿宋" w:cs="Times New Roman"/>
          <w:b/>
          <w:bCs/>
          <w:color w:val="auto"/>
          <w:sz w:val="32"/>
          <w:szCs w:val="32"/>
          <w:highlight w:val="none"/>
          <w:lang w:val="en-US" w:eastAsia="zh-CN"/>
        </w:rPr>
        <w:t>各类自然保护地总</w:t>
      </w:r>
      <w:r>
        <w:rPr>
          <w:rFonts w:hint="default" w:ascii="Times New Roman" w:hAnsi="Times New Roman" w:eastAsia="仿宋" w:cs="Times New Roman"/>
          <w:b w:val="0"/>
          <w:bCs w:val="0"/>
          <w:color w:val="auto"/>
          <w:sz w:val="32"/>
          <w:szCs w:val="32"/>
          <w:highlight w:val="none"/>
          <w:lang w:val="en-US" w:eastAsia="zh-CN"/>
        </w:rPr>
        <w:t>面积的百分比。​</w:t>
      </w:r>
    </w:p>
    <w:p w14:paraId="069BFC8C">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计算公式：国家公园等自然保护地面积占比（%）=（各类自然保护地总面积/陆域国土面积）×100%。</w:t>
      </w:r>
    </w:p>
    <w:p w14:paraId="1256E300">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（3）可达性分析</w:t>
      </w:r>
    </w:p>
    <w:p w14:paraId="548E2B4D">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snapToGrid w:val="0"/>
          <w:color w:val="auto"/>
          <w:kern w:val="0"/>
          <w:sz w:val="32"/>
          <w:szCs w:val="32"/>
          <w:u w:val="none" w:color="auto"/>
          <w:lang w:val="en-US" w:eastAsia="zh-CN"/>
        </w:rPr>
        <w:t>2025年，全省国家级自然保护地面积占比为23.80%；根据目前最新上报的整合优化成果，国家级自然保护地面积占比为29.69%。为保持稳定，到2030年，国家级自然保护地面积占比不低于29.00%。</w:t>
      </w:r>
    </w:p>
    <w:p w14:paraId="5348C6C9">
      <w:pPr>
        <w:pStyle w:val="27"/>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森林年碳汇量</w:t>
      </w:r>
    </w:p>
    <w:p w14:paraId="5F8D6FF3">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（1）设立依据</w:t>
      </w:r>
    </w:p>
    <w:p w14:paraId="73677867">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2024年8月，国家林草局在生态保护修复专题新闻发布会上将林草年碳汇量列为关键生态指标，提出“全国林草年碳汇量超过12亿</w:t>
      </w:r>
      <w:r>
        <w:rPr>
          <w:rFonts w:hint="default" w:ascii="Times New Roman" w:hAnsi="Times New Roman" w:cs="Times New Roman" w:eastAsiaTheme="minorEastAsia"/>
          <w:color w:val="auto"/>
          <w:spacing w:val="-6"/>
          <w:sz w:val="32"/>
          <w:szCs w:val="32"/>
          <w:highlight w:val="none"/>
          <w:lang w:val="en-US" w:eastAsia="zh-CN"/>
        </w:rPr>
        <w:t>t</w:t>
      </w:r>
      <w:r>
        <w:rPr>
          <w:rFonts w:hint="default" w:ascii="Times New Roman" w:hAnsi="Times New Roman" w:eastAsia="仿宋" w:cs="Times New Roman"/>
          <w:b w:val="0"/>
          <w:bCs w:val="0"/>
          <w:color w:val="auto"/>
          <w:sz w:val="32"/>
          <w:szCs w:val="32"/>
          <w:highlight w:val="none"/>
          <w:lang w:val="en-US" w:eastAsia="zh-CN"/>
        </w:rPr>
        <w:t>CO₂-e”的目标，明确其为实现碳中和目标的“压舱石”；《“十五五”林业草原发展规划》提纲（讨论稿）将其列为预期性指标。</w:t>
      </w:r>
    </w:p>
    <w:p w14:paraId="1770D7CB">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（2）计算说明</w:t>
      </w:r>
    </w:p>
    <w:p w14:paraId="3E1E0F39">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指行政区域内森林生态系统每年通过光合作用吸收大气中二氧化碳并固定在植被、枯落物和土壤中的净碳量，以二氧化碳当量（</w:t>
      </w:r>
      <w:r>
        <w:rPr>
          <w:rFonts w:hint="default" w:ascii="Times New Roman" w:hAnsi="Times New Roman" w:cs="Times New Roman" w:eastAsiaTheme="minorEastAsia"/>
          <w:color w:val="auto"/>
          <w:spacing w:val="-6"/>
          <w:sz w:val="32"/>
          <w:szCs w:val="32"/>
          <w:highlight w:val="none"/>
        </w:rPr>
        <w:t>CO</w:t>
      </w:r>
      <w:r>
        <w:rPr>
          <w:rFonts w:hint="default" w:ascii="Times New Roman" w:hAnsi="Times New Roman" w:cs="Times New Roman" w:eastAsiaTheme="minorEastAsia"/>
          <w:color w:val="auto"/>
          <w:spacing w:val="-6"/>
          <w:sz w:val="32"/>
          <w:szCs w:val="32"/>
          <w:highlight w:val="none"/>
          <w:vertAlign w:val="subscript"/>
        </w:rPr>
        <w:t>2</w:t>
      </w:r>
      <w:r>
        <w:rPr>
          <w:rFonts w:hint="default" w:ascii="Times New Roman" w:hAnsi="Times New Roman" w:cs="Times New Roman" w:eastAsiaTheme="minorEastAsia"/>
          <w:color w:val="auto"/>
          <w:spacing w:val="-6"/>
          <w:sz w:val="32"/>
          <w:szCs w:val="32"/>
          <w:highlight w:val="none"/>
          <w:vertAlign w:val="subscript"/>
          <w:lang w:val="en-US" w:eastAsia="zh-CN"/>
        </w:rPr>
        <w:t xml:space="preserve"> </w:t>
      </w:r>
      <w:r>
        <w:rPr>
          <w:rFonts w:hint="default" w:ascii="Times New Roman" w:hAnsi="Times New Roman" w:cs="Times New Roman" w:eastAsiaTheme="minorEastAsia"/>
          <w:color w:val="auto"/>
          <w:spacing w:val="-6"/>
          <w:sz w:val="32"/>
          <w:szCs w:val="32"/>
          <w:highlight w:val="none"/>
          <w:vertAlign w:val="baseline"/>
          <w:lang w:val="en-US" w:eastAsia="zh-CN"/>
        </w:rPr>
        <w:t>-e</w:t>
      </w:r>
      <w:r>
        <w:rPr>
          <w:rFonts w:hint="default" w:ascii="Times New Roman" w:hAnsi="Times New Roman" w:eastAsia="仿宋" w:cs="Times New Roman"/>
          <w:b w:val="0"/>
          <w:bCs w:val="0"/>
          <w:color w:val="auto"/>
          <w:sz w:val="32"/>
          <w:szCs w:val="32"/>
          <w:highlight w:val="none"/>
          <w:lang w:val="en-US" w:eastAsia="zh-CN"/>
        </w:rPr>
        <w:t xml:space="preserve">）为单位（如 </w:t>
      </w:r>
      <w:r>
        <w:rPr>
          <w:rFonts w:hint="default" w:ascii="Times New Roman" w:hAnsi="Times New Roman" w:cs="Times New Roman" w:eastAsiaTheme="minorEastAsia"/>
          <w:color w:val="auto"/>
          <w:spacing w:val="-6"/>
          <w:sz w:val="32"/>
          <w:szCs w:val="32"/>
          <w:highlight w:val="none"/>
          <w:lang w:val="en-US" w:eastAsia="zh-CN"/>
        </w:rPr>
        <w:t xml:space="preserve">t </w:t>
      </w:r>
      <w:r>
        <w:rPr>
          <w:rFonts w:hint="default" w:ascii="Times New Roman" w:hAnsi="Times New Roman" w:cs="Times New Roman" w:eastAsiaTheme="minorEastAsia"/>
          <w:color w:val="auto"/>
          <w:spacing w:val="-6"/>
          <w:sz w:val="32"/>
          <w:szCs w:val="32"/>
          <w:highlight w:val="none"/>
        </w:rPr>
        <w:t>CO</w:t>
      </w:r>
      <w:r>
        <w:rPr>
          <w:rFonts w:hint="default" w:ascii="Times New Roman" w:hAnsi="Times New Roman" w:cs="Times New Roman" w:eastAsiaTheme="minorEastAsia"/>
          <w:color w:val="auto"/>
          <w:spacing w:val="-6"/>
          <w:sz w:val="32"/>
          <w:szCs w:val="32"/>
          <w:highlight w:val="none"/>
          <w:vertAlign w:val="subscript"/>
        </w:rPr>
        <w:t>2</w:t>
      </w:r>
      <w:r>
        <w:rPr>
          <w:rFonts w:hint="default" w:ascii="Times New Roman" w:hAnsi="Times New Roman" w:cs="Times New Roman" w:eastAsiaTheme="minorEastAsia"/>
          <w:color w:val="auto"/>
          <w:spacing w:val="-6"/>
          <w:sz w:val="32"/>
          <w:szCs w:val="32"/>
          <w:highlight w:val="none"/>
          <w:vertAlign w:val="subscript"/>
          <w:lang w:val="en-US" w:eastAsia="zh-CN"/>
        </w:rPr>
        <w:t xml:space="preserve"> </w:t>
      </w:r>
      <w:r>
        <w:rPr>
          <w:rFonts w:hint="default" w:ascii="Times New Roman" w:hAnsi="Times New Roman" w:cs="Times New Roman" w:eastAsiaTheme="minorEastAsia"/>
          <w:color w:val="auto"/>
          <w:spacing w:val="-6"/>
          <w:sz w:val="32"/>
          <w:szCs w:val="32"/>
          <w:highlight w:val="none"/>
          <w:vertAlign w:val="baseline"/>
          <w:lang w:val="en-US" w:eastAsia="zh-CN"/>
        </w:rPr>
        <w:t>-e</w:t>
      </w:r>
      <w:r>
        <w:rPr>
          <w:rFonts w:hint="default" w:ascii="Times New Roman" w:hAnsi="Times New Roman" w:eastAsia="仿宋" w:cs="Times New Roman"/>
          <w:b w:val="0"/>
          <w:bCs w:val="0"/>
          <w:color w:val="auto"/>
          <w:sz w:val="32"/>
          <w:szCs w:val="32"/>
          <w:highlight w:val="none"/>
          <w:lang w:val="en-US" w:eastAsia="zh-CN"/>
        </w:rPr>
        <w:t xml:space="preserve">/年、亿 </w:t>
      </w:r>
      <w:r>
        <w:rPr>
          <w:rFonts w:hint="default" w:ascii="Times New Roman" w:hAnsi="Times New Roman" w:cs="Times New Roman" w:eastAsiaTheme="minorEastAsia"/>
          <w:color w:val="auto"/>
          <w:spacing w:val="-6"/>
          <w:sz w:val="32"/>
          <w:szCs w:val="32"/>
          <w:highlight w:val="none"/>
          <w:lang w:val="en-US" w:eastAsia="zh-CN"/>
        </w:rPr>
        <w:t xml:space="preserve">t </w:t>
      </w:r>
      <w:r>
        <w:rPr>
          <w:rFonts w:hint="default" w:ascii="Times New Roman" w:hAnsi="Times New Roman" w:cs="Times New Roman" w:eastAsiaTheme="minorEastAsia"/>
          <w:color w:val="auto"/>
          <w:spacing w:val="-6"/>
          <w:sz w:val="32"/>
          <w:szCs w:val="32"/>
          <w:highlight w:val="none"/>
        </w:rPr>
        <w:t>CO</w:t>
      </w:r>
      <w:r>
        <w:rPr>
          <w:rFonts w:hint="default" w:ascii="Times New Roman" w:hAnsi="Times New Roman" w:cs="Times New Roman" w:eastAsiaTheme="minorEastAsia"/>
          <w:color w:val="auto"/>
          <w:spacing w:val="-6"/>
          <w:sz w:val="32"/>
          <w:szCs w:val="32"/>
          <w:highlight w:val="none"/>
          <w:vertAlign w:val="subscript"/>
        </w:rPr>
        <w:t>2</w:t>
      </w:r>
      <w:r>
        <w:rPr>
          <w:rFonts w:hint="default" w:ascii="Times New Roman" w:hAnsi="Times New Roman" w:cs="Times New Roman" w:eastAsiaTheme="minorEastAsia"/>
          <w:color w:val="auto"/>
          <w:spacing w:val="-6"/>
          <w:sz w:val="32"/>
          <w:szCs w:val="32"/>
          <w:highlight w:val="none"/>
          <w:vertAlign w:val="subscript"/>
          <w:lang w:val="en-US" w:eastAsia="zh-CN"/>
        </w:rPr>
        <w:t xml:space="preserve"> </w:t>
      </w:r>
      <w:r>
        <w:rPr>
          <w:rFonts w:hint="default" w:ascii="Times New Roman" w:hAnsi="Times New Roman" w:cs="Times New Roman" w:eastAsiaTheme="minorEastAsia"/>
          <w:color w:val="auto"/>
          <w:spacing w:val="-6"/>
          <w:sz w:val="32"/>
          <w:szCs w:val="32"/>
          <w:highlight w:val="none"/>
          <w:vertAlign w:val="baseline"/>
          <w:lang w:val="en-US" w:eastAsia="zh-CN"/>
        </w:rPr>
        <w:t>-e</w:t>
      </w:r>
      <w:r>
        <w:rPr>
          <w:rFonts w:hint="default" w:ascii="Times New Roman" w:hAnsi="Times New Roman" w:eastAsia="仿宋" w:cs="Times New Roman"/>
          <w:b w:val="0"/>
          <w:bCs w:val="0"/>
          <w:color w:val="auto"/>
          <w:sz w:val="32"/>
          <w:szCs w:val="32"/>
          <w:highlight w:val="none"/>
          <w:lang w:val="en-US" w:eastAsia="zh-CN"/>
        </w:rPr>
        <w:t>/年）。</w:t>
      </w:r>
    </w:p>
    <w:p w14:paraId="05863840">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（3）可达性分析</w:t>
      </w:r>
    </w:p>
    <w:p w14:paraId="6FC3DBE8">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2024年，全省森林蓄积量以7.04亿m3为基数，按森林蓄积量年均增长率1.9%测算，2025年森林蓄积量年均增长量为1337.6万m3。按照碳储量计算模型，2025年，全省森林年碳汇量为2447.8万 t CO₂-e。到2030年，全省森林年碳汇量为2689.3万 t CO₂-e。</w:t>
      </w:r>
    </w:p>
    <w:p w14:paraId="61ABBE03">
      <w:pPr>
        <w:pStyle w:val="27"/>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林业产业总产值</w:t>
      </w:r>
    </w:p>
    <w:p w14:paraId="3D126832">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（1）设立依据</w:t>
      </w:r>
    </w:p>
    <w:p w14:paraId="6714C522">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该指标是《中国林业和草原统计年鉴》的核心统计指标，以货币形式直观反映林业产业发展水平。《中共广东省委关于深入推进绿美广东生态建设的决定》提出“促进林业一二三产业融合发展，建设现代化林业产业体系，推动林业生态产品价值实现。”“十五五”期间将该指标列为预期性指标，契合林业一二三产业融合发展趋势，实现生态效益与经济效益双赢。</w:t>
      </w:r>
    </w:p>
    <w:p w14:paraId="3CC4B19C">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（2）计算说明</w:t>
      </w:r>
    </w:p>
    <w:p w14:paraId="04B9D4D6">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指一定时期内以货币形式表现的林业物质生产部门和非物质生产部门的生产总值。</w:t>
      </w:r>
    </w:p>
    <w:p w14:paraId="53EB0407">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计算公式：林业产业总产值（亿元）=林业第一产业生产总值+林业第二产业生产总值+林业第三产业生产总值</w:t>
      </w:r>
    </w:p>
    <w:p w14:paraId="189B4DFE">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（3）可达性分析</w:t>
      </w:r>
    </w:p>
    <w:p w14:paraId="47E3F5D4">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snapToGrid w:val="0"/>
          <w:color w:val="auto"/>
          <w:kern w:val="0"/>
          <w:sz w:val="32"/>
          <w:szCs w:val="32"/>
          <w:u w:val="none" w:color="auto"/>
          <w:lang w:val="en-US" w:eastAsia="zh-CN"/>
        </w:rPr>
      </w:pPr>
      <w:r>
        <w:rPr>
          <w:rFonts w:hint="default" w:ascii="Times New Roman" w:hAnsi="Times New Roman" w:eastAsia="仿宋" w:cs="Times New Roman"/>
          <w:snapToGrid w:val="0"/>
          <w:color w:val="auto"/>
          <w:kern w:val="0"/>
          <w:sz w:val="32"/>
          <w:szCs w:val="32"/>
          <w:u w:val="none" w:color="auto"/>
          <w:lang w:val="en-US" w:eastAsia="zh-CN"/>
        </w:rPr>
        <w:t>2020年-2025年，全省林业产业总产值分别为8212亿元、8607亿元、8714亿元、8950亿元、9416亿元、10100亿元，“十四五”期间，林业产业总产值增长率为14.66%，到2030年可达1.3万亿元。</w:t>
      </w:r>
    </w:p>
    <w:p w14:paraId="52210F0A">
      <w:pPr>
        <w:pStyle w:val="27"/>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森林火灾受害率</w:t>
      </w:r>
    </w:p>
    <w:p w14:paraId="13DD0EA0">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（1）设立依据</w:t>
      </w:r>
    </w:p>
    <w:p w14:paraId="0113587C">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中央办公厅、国务院办公厅《关于全面加强新形势下森林草原防灭火工作的意见》明确“到2025年，森林火灾受害率控制在0.9‰以内”。中共广东省委办公厅、广东省人民政府办公厅印发的《关于全面加强新形势下森林防灭火工作的实施意见》细化要求“到2030年，森林火灾受害率控制在0.8‰以内”，“十五五”期间将该指标列为预期性指标，是落实国家防灭火工作要求、保障森林生态系统安全的重要举措。</w:t>
      </w:r>
    </w:p>
    <w:p w14:paraId="54F6418D">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（2）计算说明</w:t>
      </w:r>
    </w:p>
    <w:p w14:paraId="7C33DA4B">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指行政区域内火灾受害森林面积占森林总面积的千分比。</w:t>
      </w:r>
    </w:p>
    <w:p w14:paraId="564C4FAC">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计算公式：森林火灾受害率（‰）=（火灾受害森林面积/森林总面积）×1000‰。</w:t>
      </w:r>
    </w:p>
    <w:p w14:paraId="39269E4A">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（3）可达性分析</w:t>
      </w:r>
    </w:p>
    <w:p w14:paraId="3B4C4396">
      <w:pPr>
        <w:pStyle w:val="27"/>
        <w:keepNext w:val="0"/>
        <w:keepLines w:val="0"/>
        <w:pageBreakBefore w:val="0"/>
        <w:widowControl/>
        <w:numPr>
          <w:ilvl w:val="0"/>
          <w:numId w:val="0"/>
        </w:numPr>
        <w:kinsoku/>
        <w:wordWrap/>
        <w:overflowPunct/>
        <w:topLinePunct w:val="0"/>
        <w:autoSpaceDE/>
        <w:autoSpaceDN/>
        <w:bidi w:val="0"/>
        <w:adjustRightInd/>
        <w:snapToGrid/>
        <w:spacing w:before="0" w:beforeLines="50" w:after="0" w:afterLines="50"/>
        <w:ind w:left="0" w:leftChars="0" w:firstLine="640" w:firstLineChars="200"/>
        <w:textAlignment w:val="auto"/>
        <w:outlineLvl w:val="9"/>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2020-2025年，全省森林火灾受害率分别为0.062‰、0.107‰、0.028‰、0.012‰、0.00183‰，0.01‰。国家林草局2030年的预期目标值为≤0.7‰（国家林草局《林业草原保护利用“十五五”规划（讨论稿）》，要求全国森林草原火灾年均受害率控制在0.7‰以内。）。综上，建议我省“十五五”期间将森林火灾受害率控制在0.7‰以内。</w:t>
      </w:r>
    </w:p>
    <w:p w14:paraId="6339DCBF">
      <w:pPr>
        <w:pStyle w:val="27"/>
        <w:keepNext w:val="0"/>
        <w:keepLines w:val="0"/>
        <w:pageBreakBefore w:val="0"/>
        <w:widowControl/>
        <w:numPr>
          <w:ilvl w:val="0"/>
          <w:numId w:val="1"/>
        </w:numPr>
        <w:kinsoku/>
        <w:wordWrap/>
        <w:overflowPunct/>
        <w:topLinePunct w:val="0"/>
        <w:autoSpaceDE/>
        <w:autoSpaceDN/>
        <w:bidi w:val="0"/>
        <w:adjustRightInd/>
        <w:snapToGrid/>
        <w:spacing w:before="181" w:beforeLines="50" w:after="181" w:afterLines="5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林业有害生物成灾率</w:t>
      </w:r>
    </w:p>
    <w:p w14:paraId="5545BBF6">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lang w:val="en-US" w:eastAsia="zh-CN"/>
        </w:rPr>
        <w:t>（1）</w:t>
      </w:r>
      <w:r>
        <w:rPr>
          <w:rFonts w:hint="default" w:ascii="Times New Roman" w:hAnsi="Times New Roman" w:eastAsia="仿宋" w:cs="Times New Roman"/>
          <w:b/>
          <w:bCs/>
          <w:color w:val="auto"/>
          <w:sz w:val="32"/>
          <w:szCs w:val="32"/>
          <w:highlight w:val="none"/>
          <w:lang w:val="en-US" w:eastAsia="zh-CN"/>
        </w:rPr>
        <w:t>设立依据</w:t>
      </w:r>
    </w:p>
    <w:p w14:paraId="1FDC6157">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640" w:firstLineChars="200"/>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国家层面：《森林病虫害防治条例》明确将林业有害生物成灾率列为核心管控指标。</w:t>
      </w:r>
    </w:p>
    <w:p w14:paraId="1EB6385F">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640" w:firstLineChars="200"/>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省级层面：《广东省林业有害生物防治“十四五”规划》提出“到2025年，全省主要林业有害生物成灾率控制在26.32‰以下。”“十五五”期间将该指标列为预期性指标，旨在持续强化林业有害生物监测预警和防治工作，保障森林生态系统健康稳定。</w:t>
      </w:r>
    </w:p>
    <w:p w14:paraId="513D1780">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lang w:val="en-US" w:eastAsia="zh-CN"/>
        </w:rPr>
        <w:t>（2）</w:t>
      </w:r>
      <w:r>
        <w:rPr>
          <w:rFonts w:hint="default" w:ascii="Times New Roman" w:hAnsi="Times New Roman" w:eastAsia="仿宋" w:cs="Times New Roman"/>
          <w:b/>
          <w:bCs/>
          <w:color w:val="auto"/>
          <w:sz w:val="32"/>
          <w:szCs w:val="32"/>
          <w:highlight w:val="none"/>
          <w:lang w:val="en-US" w:eastAsia="zh-CN"/>
        </w:rPr>
        <w:t>计算说明</w:t>
      </w:r>
    </w:p>
    <w:p w14:paraId="2DDAE3CD">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640" w:firstLineChars="200"/>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指行政区域内森林有害生物实际成灾面积占森林面积的千分比。</w:t>
      </w:r>
    </w:p>
    <w:p w14:paraId="1185E26E">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640" w:firstLineChars="200"/>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计算公式为：林业有害生物成灾率（‰）=（有害生物成灾面积/森林总面积）×1000‰。</w:t>
      </w:r>
    </w:p>
    <w:p w14:paraId="595D57E4">
      <w:pPr>
        <w:pStyle w:val="2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Chars="0" w:firstLine="643" w:firstLineChars="200"/>
        <w:jc w:val="both"/>
        <w:textAlignment w:val="auto"/>
        <w:outlineLvl w:val="9"/>
        <w:rPr>
          <w:rFonts w:hint="default" w:ascii="Times New Roman" w:hAnsi="Times New Roman" w:eastAsia="仿宋" w:cs="Times New Roman"/>
          <w:b/>
          <w:bCs/>
          <w:color w:val="auto"/>
          <w:sz w:val="32"/>
          <w:szCs w:val="32"/>
          <w:highlight w:val="none"/>
          <w:lang w:val="en-US" w:eastAsia="zh-CN"/>
        </w:rPr>
      </w:pPr>
      <w:r>
        <w:rPr>
          <w:rFonts w:hint="default" w:ascii="Times New Roman" w:hAnsi="Times New Roman" w:eastAsia="仿宋" w:cs="Times New Roman"/>
          <w:b/>
          <w:bCs/>
          <w:color w:val="auto"/>
          <w:sz w:val="32"/>
          <w:szCs w:val="32"/>
          <w:highlight w:val="none"/>
          <w:lang w:val="en-US" w:eastAsia="zh-CN"/>
        </w:rPr>
        <w:t>（3）可达性分析</w:t>
      </w:r>
    </w:p>
    <w:p w14:paraId="3571A0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 w:cs="Times New Roman"/>
          <w:b w:val="0"/>
          <w:bCs w:val="0"/>
          <w:color w:val="auto"/>
          <w:sz w:val="32"/>
          <w:szCs w:val="32"/>
          <w:highlight w:val="none"/>
          <w:lang w:val="en-US" w:eastAsia="zh-CN"/>
        </w:rPr>
        <w:t>当前广东省林业有害生物成灾率为19.</w:t>
      </w:r>
      <w:r>
        <w:rPr>
          <w:rFonts w:hint="eastAsia" w:ascii="Times New Roman" w:hAnsi="Times New Roman" w:eastAsia="仿宋" w:cs="Times New Roman"/>
          <w:b w:val="0"/>
          <w:bCs w:val="0"/>
          <w:color w:val="auto"/>
          <w:sz w:val="32"/>
          <w:szCs w:val="32"/>
          <w:highlight w:val="none"/>
          <w:lang w:val="en-US" w:eastAsia="zh-CN"/>
        </w:rPr>
        <w:t>69</w:t>
      </w:r>
      <w:r>
        <w:rPr>
          <w:rFonts w:hint="default" w:ascii="Times New Roman" w:hAnsi="Times New Roman" w:eastAsia="仿宋" w:cs="Times New Roman"/>
          <w:b w:val="0"/>
          <w:bCs w:val="0"/>
          <w:color w:val="auto"/>
          <w:sz w:val="32"/>
          <w:szCs w:val="32"/>
          <w:highlight w:val="none"/>
          <w:lang w:val="en-US" w:eastAsia="zh-CN"/>
        </w:rPr>
        <w:t>‰，目标值暂未明确。广东省已建立覆盖全省的林业有害生物监测预警网络，设立监测站点超1200个，推广生物防治、物理防治等绿色防控技术，严格执行苗木检疫和调运监管制度，有效遏制了重大有害生物扩散。在此基础上，通过强化跨区域联防联控、加大防控技术研发投入，能够进一步稳定并降低成灾率，满足预期性指标的管控要求。</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F3485D-68D4-4940-BF90-3D838AE20E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2" w:fontKey="{A95EC272-EF5A-45E2-98B4-D01FD76E060B}"/>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仿宋">
    <w:panose1 w:val="02010609060101010101"/>
    <w:charset w:val="86"/>
    <w:family w:val="auto"/>
    <w:pitch w:val="default"/>
    <w:sig w:usb0="800002BF" w:usb1="38CF7CFA" w:usb2="00000016" w:usb3="00000000" w:csb0="00040001" w:csb1="00000000"/>
    <w:embedRegular r:id="rId3" w:fontKey="{D9237FAA-7E53-42F8-B0F7-A84554DADDBA}"/>
  </w:font>
  <w:font w:name="CESI仿宋-GB2312">
    <w:altName w:val="仿宋"/>
    <w:panose1 w:val="02000500000000000000"/>
    <w:charset w:val="86"/>
    <w:family w:val="auto"/>
    <w:pitch w:val="default"/>
    <w:sig w:usb0="00000000" w:usb1="00000000" w:usb2="00000010" w:usb3="00000000" w:csb0="0004000F" w:csb1="00000000"/>
    <w:embedRegular r:id="rId4" w:fontKey="{277CE830-714E-47F3-8D84-3DCC6A66D5E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B0736">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1822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E1822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79926">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8219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E65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47E65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792F7">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F956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CF956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17154C"/>
    <w:multiLevelType w:val="singleLevel"/>
    <w:tmpl w:val="F717154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NWVkOGQ4YmQ1OGY3Njk1YmE0NzhkNGE1OWYyNDAifQ=="/>
  </w:docVars>
  <w:rsids>
    <w:rsidRoot w:val="7418247F"/>
    <w:rsid w:val="001737FD"/>
    <w:rsid w:val="00225378"/>
    <w:rsid w:val="00266C25"/>
    <w:rsid w:val="002B06A3"/>
    <w:rsid w:val="002D269B"/>
    <w:rsid w:val="0039481D"/>
    <w:rsid w:val="00576196"/>
    <w:rsid w:val="00732204"/>
    <w:rsid w:val="007824DE"/>
    <w:rsid w:val="00834E02"/>
    <w:rsid w:val="0087354D"/>
    <w:rsid w:val="00930D49"/>
    <w:rsid w:val="009A6557"/>
    <w:rsid w:val="00B20DF2"/>
    <w:rsid w:val="00C6664C"/>
    <w:rsid w:val="00D32AF9"/>
    <w:rsid w:val="00DC7C1D"/>
    <w:rsid w:val="00ED33C1"/>
    <w:rsid w:val="01193AA6"/>
    <w:rsid w:val="014F1E83"/>
    <w:rsid w:val="01512B4A"/>
    <w:rsid w:val="01657C13"/>
    <w:rsid w:val="016A6FD7"/>
    <w:rsid w:val="01964270"/>
    <w:rsid w:val="01B464A4"/>
    <w:rsid w:val="02134F40"/>
    <w:rsid w:val="021350A2"/>
    <w:rsid w:val="021533E7"/>
    <w:rsid w:val="0250441F"/>
    <w:rsid w:val="026B3AFD"/>
    <w:rsid w:val="02C3371F"/>
    <w:rsid w:val="02C95F7F"/>
    <w:rsid w:val="02F55EA0"/>
    <w:rsid w:val="03462C8E"/>
    <w:rsid w:val="034C6847"/>
    <w:rsid w:val="03754AC9"/>
    <w:rsid w:val="0386185A"/>
    <w:rsid w:val="03A32C74"/>
    <w:rsid w:val="03F90484"/>
    <w:rsid w:val="03F97C93"/>
    <w:rsid w:val="040E6340"/>
    <w:rsid w:val="041D0807"/>
    <w:rsid w:val="04243DB5"/>
    <w:rsid w:val="043322A4"/>
    <w:rsid w:val="0436211C"/>
    <w:rsid w:val="04444720"/>
    <w:rsid w:val="04504BAA"/>
    <w:rsid w:val="04591B93"/>
    <w:rsid w:val="046B3792"/>
    <w:rsid w:val="047C6B9D"/>
    <w:rsid w:val="04806B11"/>
    <w:rsid w:val="048B2C4F"/>
    <w:rsid w:val="048E4BB2"/>
    <w:rsid w:val="04C11604"/>
    <w:rsid w:val="04CC2E24"/>
    <w:rsid w:val="04DF2EAE"/>
    <w:rsid w:val="05001E59"/>
    <w:rsid w:val="05171F7D"/>
    <w:rsid w:val="052A5242"/>
    <w:rsid w:val="05355489"/>
    <w:rsid w:val="053D5B7D"/>
    <w:rsid w:val="056A0E7A"/>
    <w:rsid w:val="05714CE5"/>
    <w:rsid w:val="05790131"/>
    <w:rsid w:val="057F6DC9"/>
    <w:rsid w:val="05C83808"/>
    <w:rsid w:val="05CB59BA"/>
    <w:rsid w:val="05DC421B"/>
    <w:rsid w:val="05F40D46"/>
    <w:rsid w:val="06104114"/>
    <w:rsid w:val="06330D6D"/>
    <w:rsid w:val="066C38CD"/>
    <w:rsid w:val="068208A8"/>
    <w:rsid w:val="0687062B"/>
    <w:rsid w:val="06A92898"/>
    <w:rsid w:val="06AD00B8"/>
    <w:rsid w:val="06CB2CC3"/>
    <w:rsid w:val="06DB0507"/>
    <w:rsid w:val="06E93094"/>
    <w:rsid w:val="06F15AA5"/>
    <w:rsid w:val="06FB76AC"/>
    <w:rsid w:val="07194EBB"/>
    <w:rsid w:val="074078CC"/>
    <w:rsid w:val="07713214"/>
    <w:rsid w:val="07757D9C"/>
    <w:rsid w:val="0786488B"/>
    <w:rsid w:val="079D65CE"/>
    <w:rsid w:val="07C379A1"/>
    <w:rsid w:val="07D15680"/>
    <w:rsid w:val="07E56759"/>
    <w:rsid w:val="07F817E1"/>
    <w:rsid w:val="081D263D"/>
    <w:rsid w:val="082B577A"/>
    <w:rsid w:val="083B347B"/>
    <w:rsid w:val="0858402D"/>
    <w:rsid w:val="087D1CE6"/>
    <w:rsid w:val="0888593E"/>
    <w:rsid w:val="08BF5E5A"/>
    <w:rsid w:val="08CB2A51"/>
    <w:rsid w:val="08D52036"/>
    <w:rsid w:val="08EB05C3"/>
    <w:rsid w:val="08F92B85"/>
    <w:rsid w:val="08FA52C7"/>
    <w:rsid w:val="090B1342"/>
    <w:rsid w:val="092C3F6D"/>
    <w:rsid w:val="094E2338"/>
    <w:rsid w:val="094E71DE"/>
    <w:rsid w:val="09524F20"/>
    <w:rsid w:val="09535CB8"/>
    <w:rsid w:val="096137CE"/>
    <w:rsid w:val="09AB4631"/>
    <w:rsid w:val="09D56228"/>
    <w:rsid w:val="0A0C7DA7"/>
    <w:rsid w:val="0A382368"/>
    <w:rsid w:val="0A3A47E0"/>
    <w:rsid w:val="0A635296"/>
    <w:rsid w:val="0A6F5A23"/>
    <w:rsid w:val="0AA765DF"/>
    <w:rsid w:val="0AE222D4"/>
    <w:rsid w:val="0AED6069"/>
    <w:rsid w:val="0B0D52D0"/>
    <w:rsid w:val="0B310ACE"/>
    <w:rsid w:val="0B3750C5"/>
    <w:rsid w:val="0B380146"/>
    <w:rsid w:val="0B397130"/>
    <w:rsid w:val="0B460AB5"/>
    <w:rsid w:val="0B5C5BE2"/>
    <w:rsid w:val="0B6C6FDA"/>
    <w:rsid w:val="0B6F20EE"/>
    <w:rsid w:val="0BA66B51"/>
    <w:rsid w:val="0BB229C4"/>
    <w:rsid w:val="0BB81F58"/>
    <w:rsid w:val="0BCF6830"/>
    <w:rsid w:val="0BD56464"/>
    <w:rsid w:val="0BD7170D"/>
    <w:rsid w:val="0BE2288E"/>
    <w:rsid w:val="0C403C34"/>
    <w:rsid w:val="0CB2673F"/>
    <w:rsid w:val="0CB26C52"/>
    <w:rsid w:val="0CCA521E"/>
    <w:rsid w:val="0D070A82"/>
    <w:rsid w:val="0D18022F"/>
    <w:rsid w:val="0D541E54"/>
    <w:rsid w:val="0D5D5C42"/>
    <w:rsid w:val="0D77676B"/>
    <w:rsid w:val="0D8B0A01"/>
    <w:rsid w:val="0DD04A36"/>
    <w:rsid w:val="0DF02A51"/>
    <w:rsid w:val="0E082052"/>
    <w:rsid w:val="0E3E1F17"/>
    <w:rsid w:val="0E406FF0"/>
    <w:rsid w:val="0E6C2591"/>
    <w:rsid w:val="0E8A69F1"/>
    <w:rsid w:val="0ECB0A34"/>
    <w:rsid w:val="0ECC307F"/>
    <w:rsid w:val="0EE91E83"/>
    <w:rsid w:val="0EF91555"/>
    <w:rsid w:val="0EFE5203"/>
    <w:rsid w:val="0F325529"/>
    <w:rsid w:val="0F7A7395"/>
    <w:rsid w:val="0F8879A9"/>
    <w:rsid w:val="0F9066A7"/>
    <w:rsid w:val="0F916B22"/>
    <w:rsid w:val="0FC84655"/>
    <w:rsid w:val="0FCF4673"/>
    <w:rsid w:val="0FDC09D2"/>
    <w:rsid w:val="0FE90C6D"/>
    <w:rsid w:val="0FE922C9"/>
    <w:rsid w:val="0FF72944"/>
    <w:rsid w:val="0FF936D6"/>
    <w:rsid w:val="10342FE6"/>
    <w:rsid w:val="1047353A"/>
    <w:rsid w:val="104B091B"/>
    <w:rsid w:val="10555DA0"/>
    <w:rsid w:val="10593038"/>
    <w:rsid w:val="10713220"/>
    <w:rsid w:val="107C63CA"/>
    <w:rsid w:val="10A818CA"/>
    <w:rsid w:val="10EF12A7"/>
    <w:rsid w:val="110D5FEA"/>
    <w:rsid w:val="111C2F60"/>
    <w:rsid w:val="1127091C"/>
    <w:rsid w:val="114755E1"/>
    <w:rsid w:val="11946775"/>
    <w:rsid w:val="11E41076"/>
    <w:rsid w:val="11E90553"/>
    <w:rsid w:val="11F179BA"/>
    <w:rsid w:val="12282E23"/>
    <w:rsid w:val="12380259"/>
    <w:rsid w:val="125A4874"/>
    <w:rsid w:val="12655CC4"/>
    <w:rsid w:val="128447EA"/>
    <w:rsid w:val="128F7902"/>
    <w:rsid w:val="12CB5E5A"/>
    <w:rsid w:val="12E02D49"/>
    <w:rsid w:val="13100B7A"/>
    <w:rsid w:val="132A7D0B"/>
    <w:rsid w:val="133623C7"/>
    <w:rsid w:val="134648D9"/>
    <w:rsid w:val="1363116F"/>
    <w:rsid w:val="13743CE5"/>
    <w:rsid w:val="138F0575"/>
    <w:rsid w:val="13B35548"/>
    <w:rsid w:val="13B75FD0"/>
    <w:rsid w:val="13D9203C"/>
    <w:rsid w:val="13EC3FBB"/>
    <w:rsid w:val="14050323"/>
    <w:rsid w:val="1437543F"/>
    <w:rsid w:val="144933C4"/>
    <w:rsid w:val="146D2C81"/>
    <w:rsid w:val="146D59C2"/>
    <w:rsid w:val="14723CAA"/>
    <w:rsid w:val="147952FC"/>
    <w:rsid w:val="14C073A3"/>
    <w:rsid w:val="14CC76A6"/>
    <w:rsid w:val="150A5A96"/>
    <w:rsid w:val="1518411F"/>
    <w:rsid w:val="153F00C2"/>
    <w:rsid w:val="159143C3"/>
    <w:rsid w:val="15956CD4"/>
    <w:rsid w:val="15D54C20"/>
    <w:rsid w:val="15FF1117"/>
    <w:rsid w:val="163858E8"/>
    <w:rsid w:val="1642631D"/>
    <w:rsid w:val="165F6BE5"/>
    <w:rsid w:val="1667680D"/>
    <w:rsid w:val="16800A0C"/>
    <w:rsid w:val="16C4115D"/>
    <w:rsid w:val="17031701"/>
    <w:rsid w:val="170C53AE"/>
    <w:rsid w:val="1715758D"/>
    <w:rsid w:val="172441DF"/>
    <w:rsid w:val="17365554"/>
    <w:rsid w:val="176C43CD"/>
    <w:rsid w:val="178C784F"/>
    <w:rsid w:val="17A92E6F"/>
    <w:rsid w:val="17D66D1D"/>
    <w:rsid w:val="17D670A7"/>
    <w:rsid w:val="17F915FC"/>
    <w:rsid w:val="180904E6"/>
    <w:rsid w:val="181A31DF"/>
    <w:rsid w:val="1845473A"/>
    <w:rsid w:val="18AA14B1"/>
    <w:rsid w:val="18C7590E"/>
    <w:rsid w:val="18F002B2"/>
    <w:rsid w:val="191138E1"/>
    <w:rsid w:val="193F576B"/>
    <w:rsid w:val="195C344C"/>
    <w:rsid w:val="19954887"/>
    <w:rsid w:val="19B079D1"/>
    <w:rsid w:val="19BA0A02"/>
    <w:rsid w:val="19CD414F"/>
    <w:rsid w:val="19D52D78"/>
    <w:rsid w:val="19E05775"/>
    <w:rsid w:val="1A02325E"/>
    <w:rsid w:val="1A0F1779"/>
    <w:rsid w:val="1A131F09"/>
    <w:rsid w:val="1A156C8A"/>
    <w:rsid w:val="1A1F0E4F"/>
    <w:rsid w:val="1A240213"/>
    <w:rsid w:val="1A261CB6"/>
    <w:rsid w:val="1A2C6CF8"/>
    <w:rsid w:val="1A391180"/>
    <w:rsid w:val="1A4C59BC"/>
    <w:rsid w:val="1A524D11"/>
    <w:rsid w:val="1A6527B8"/>
    <w:rsid w:val="1A73397C"/>
    <w:rsid w:val="1A774211"/>
    <w:rsid w:val="1A89451A"/>
    <w:rsid w:val="1A8F4E09"/>
    <w:rsid w:val="1A9330CA"/>
    <w:rsid w:val="1AA94C4D"/>
    <w:rsid w:val="1AC46651"/>
    <w:rsid w:val="1AFA3204"/>
    <w:rsid w:val="1B2349B5"/>
    <w:rsid w:val="1B281F85"/>
    <w:rsid w:val="1B3A75C2"/>
    <w:rsid w:val="1B675B7C"/>
    <w:rsid w:val="1BA22B9C"/>
    <w:rsid w:val="1BDB7615"/>
    <w:rsid w:val="1BE0016A"/>
    <w:rsid w:val="1BF8455C"/>
    <w:rsid w:val="1C143C0E"/>
    <w:rsid w:val="1C19367C"/>
    <w:rsid w:val="1C3861F8"/>
    <w:rsid w:val="1C3E30E2"/>
    <w:rsid w:val="1C42171A"/>
    <w:rsid w:val="1C4463C1"/>
    <w:rsid w:val="1C4F1AF7"/>
    <w:rsid w:val="1CA507C5"/>
    <w:rsid w:val="1CA978DE"/>
    <w:rsid w:val="1D011832"/>
    <w:rsid w:val="1D18058E"/>
    <w:rsid w:val="1D4A5462"/>
    <w:rsid w:val="1D5F7710"/>
    <w:rsid w:val="1D865A27"/>
    <w:rsid w:val="1D927B8A"/>
    <w:rsid w:val="1DC023C8"/>
    <w:rsid w:val="1E2A7DC2"/>
    <w:rsid w:val="1E503A42"/>
    <w:rsid w:val="1E562965"/>
    <w:rsid w:val="1E5A2805"/>
    <w:rsid w:val="1E5D1A54"/>
    <w:rsid w:val="1E685343"/>
    <w:rsid w:val="1E6C3F37"/>
    <w:rsid w:val="1F0E75BF"/>
    <w:rsid w:val="1F3D3328"/>
    <w:rsid w:val="1F52239E"/>
    <w:rsid w:val="1F5921F0"/>
    <w:rsid w:val="1F615DD9"/>
    <w:rsid w:val="1F6B5C5A"/>
    <w:rsid w:val="1FA6791C"/>
    <w:rsid w:val="1FB42039"/>
    <w:rsid w:val="1FBF60A4"/>
    <w:rsid w:val="1FC47181"/>
    <w:rsid w:val="1FEF4E1F"/>
    <w:rsid w:val="200C3C23"/>
    <w:rsid w:val="201605FE"/>
    <w:rsid w:val="203822D3"/>
    <w:rsid w:val="20634160"/>
    <w:rsid w:val="20783067"/>
    <w:rsid w:val="20886D1C"/>
    <w:rsid w:val="2093697E"/>
    <w:rsid w:val="2093752B"/>
    <w:rsid w:val="20EE7369"/>
    <w:rsid w:val="21321742"/>
    <w:rsid w:val="21522F75"/>
    <w:rsid w:val="21A841A9"/>
    <w:rsid w:val="21B83EE0"/>
    <w:rsid w:val="21BC3427"/>
    <w:rsid w:val="21BC6F83"/>
    <w:rsid w:val="21CA4A7A"/>
    <w:rsid w:val="21E514EA"/>
    <w:rsid w:val="223C2AA7"/>
    <w:rsid w:val="223E1A3F"/>
    <w:rsid w:val="22416B0A"/>
    <w:rsid w:val="22486A69"/>
    <w:rsid w:val="22632A6F"/>
    <w:rsid w:val="229017FF"/>
    <w:rsid w:val="22B02C47"/>
    <w:rsid w:val="22B175E3"/>
    <w:rsid w:val="22B852B6"/>
    <w:rsid w:val="22D12F02"/>
    <w:rsid w:val="22DA104E"/>
    <w:rsid w:val="22F60E21"/>
    <w:rsid w:val="23264FFC"/>
    <w:rsid w:val="2328013C"/>
    <w:rsid w:val="2338088B"/>
    <w:rsid w:val="2358717F"/>
    <w:rsid w:val="238B1DA2"/>
    <w:rsid w:val="23B23183"/>
    <w:rsid w:val="23D857FC"/>
    <w:rsid w:val="23EE40AF"/>
    <w:rsid w:val="243674C1"/>
    <w:rsid w:val="244A1E6F"/>
    <w:rsid w:val="245711E5"/>
    <w:rsid w:val="24571E11"/>
    <w:rsid w:val="2460183D"/>
    <w:rsid w:val="24694BDE"/>
    <w:rsid w:val="247534B9"/>
    <w:rsid w:val="24780825"/>
    <w:rsid w:val="249D2778"/>
    <w:rsid w:val="24A25D6E"/>
    <w:rsid w:val="24A63840"/>
    <w:rsid w:val="24B35395"/>
    <w:rsid w:val="24F160DB"/>
    <w:rsid w:val="252B307C"/>
    <w:rsid w:val="25641A3A"/>
    <w:rsid w:val="25822292"/>
    <w:rsid w:val="258C0303"/>
    <w:rsid w:val="25C036F3"/>
    <w:rsid w:val="25ED1E01"/>
    <w:rsid w:val="26211AAB"/>
    <w:rsid w:val="26281518"/>
    <w:rsid w:val="26341ACF"/>
    <w:rsid w:val="26573EDD"/>
    <w:rsid w:val="2665408D"/>
    <w:rsid w:val="267C4F33"/>
    <w:rsid w:val="26B601A5"/>
    <w:rsid w:val="270B6452"/>
    <w:rsid w:val="273121C1"/>
    <w:rsid w:val="27787DF0"/>
    <w:rsid w:val="27982240"/>
    <w:rsid w:val="279B6CC4"/>
    <w:rsid w:val="27DC4EC1"/>
    <w:rsid w:val="27E46300"/>
    <w:rsid w:val="28006B8B"/>
    <w:rsid w:val="28035AF8"/>
    <w:rsid w:val="28243568"/>
    <w:rsid w:val="28656FAB"/>
    <w:rsid w:val="28795BCE"/>
    <w:rsid w:val="28A22A95"/>
    <w:rsid w:val="28BF1F5B"/>
    <w:rsid w:val="28D66BD9"/>
    <w:rsid w:val="28EF3DCE"/>
    <w:rsid w:val="28F15B99"/>
    <w:rsid w:val="290C07F0"/>
    <w:rsid w:val="29472C12"/>
    <w:rsid w:val="295B3DF7"/>
    <w:rsid w:val="29776560"/>
    <w:rsid w:val="29912FF5"/>
    <w:rsid w:val="29B66771"/>
    <w:rsid w:val="29CF181E"/>
    <w:rsid w:val="29D46E34"/>
    <w:rsid w:val="29DE1E9E"/>
    <w:rsid w:val="29EB48A9"/>
    <w:rsid w:val="29FD45DD"/>
    <w:rsid w:val="2A104310"/>
    <w:rsid w:val="2A2B1C69"/>
    <w:rsid w:val="2A5C26DF"/>
    <w:rsid w:val="2A982C2C"/>
    <w:rsid w:val="2A9D26E4"/>
    <w:rsid w:val="2A9E16BA"/>
    <w:rsid w:val="2AC9211D"/>
    <w:rsid w:val="2AE049E4"/>
    <w:rsid w:val="2AF77747"/>
    <w:rsid w:val="2B3952BF"/>
    <w:rsid w:val="2B3E4EAD"/>
    <w:rsid w:val="2B51698E"/>
    <w:rsid w:val="2B722069"/>
    <w:rsid w:val="2B7F77B7"/>
    <w:rsid w:val="2B84344D"/>
    <w:rsid w:val="2B965F82"/>
    <w:rsid w:val="2BD36BDA"/>
    <w:rsid w:val="2BF74426"/>
    <w:rsid w:val="2C057779"/>
    <w:rsid w:val="2C22392D"/>
    <w:rsid w:val="2C4A72DA"/>
    <w:rsid w:val="2C6321B6"/>
    <w:rsid w:val="2C744C5D"/>
    <w:rsid w:val="2C7E7C57"/>
    <w:rsid w:val="2C9B7D4E"/>
    <w:rsid w:val="2CA5012C"/>
    <w:rsid w:val="2CA62D0A"/>
    <w:rsid w:val="2CB52F4D"/>
    <w:rsid w:val="2CD51841"/>
    <w:rsid w:val="2CE46681"/>
    <w:rsid w:val="2CF9552F"/>
    <w:rsid w:val="2D2325AC"/>
    <w:rsid w:val="2D506D67"/>
    <w:rsid w:val="2D5C786C"/>
    <w:rsid w:val="2DA77EE1"/>
    <w:rsid w:val="2DA936A8"/>
    <w:rsid w:val="2DB50FD1"/>
    <w:rsid w:val="2DF35A84"/>
    <w:rsid w:val="2E296F46"/>
    <w:rsid w:val="2E3B05F1"/>
    <w:rsid w:val="2E444588"/>
    <w:rsid w:val="2E6F1BE3"/>
    <w:rsid w:val="2E7652A9"/>
    <w:rsid w:val="2F0F1F76"/>
    <w:rsid w:val="2F210D6D"/>
    <w:rsid w:val="2F283358"/>
    <w:rsid w:val="2F292D12"/>
    <w:rsid w:val="2F4914E2"/>
    <w:rsid w:val="2FC54405"/>
    <w:rsid w:val="2FF67B04"/>
    <w:rsid w:val="3078676B"/>
    <w:rsid w:val="30C9729A"/>
    <w:rsid w:val="30CE770F"/>
    <w:rsid w:val="30D53FB3"/>
    <w:rsid w:val="31287F0C"/>
    <w:rsid w:val="312B5ED3"/>
    <w:rsid w:val="312D7D65"/>
    <w:rsid w:val="31374878"/>
    <w:rsid w:val="31475F16"/>
    <w:rsid w:val="31607AD2"/>
    <w:rsid w:val="31715CAB"/>
    <w:rsid w:val="31750EFD"/>
    <w:rsid w:val="318C4BC4"/>
    <w:rsid w:val="3199133A"/>
    <w:rsid w:val="31A72D44"/>
    <w:rsid w:val="31B01933"/>
    <w:rsid w:val="31B876F2"/>
    <w:rsid w:val="31CD6D17"/>
    <w:rsid w:val="322746E6"/>
    <w:rsid w:val="322A42B2"/>
    <w:rsid w:val="32583F87"/>
    <w:rsid w:val="32D13263"/>
    <w:rsid w:val="32D71E55"/>
    <w:rsid w:val="32EC3440"/>
    <w:rsid w:val="332E6484"/>
    <w:rsid w:val="333D3C9C"/>
    <w:rsid w:val="334943EF"/>
    <w:rsid w:val="338F02E0"/>
    <w:rsid w:val="33A45DFC"/>
    <w:rsid w:val="33BB353F"/>
    <w:rsid w:val="33CD22A2"/>
    <w:rsid w:val="33D22636"/>
    <w:rsid w:val="33D42F88"/>
    <w:rsid w:val="33D61DEE"/>
    <w:rsid w:val="33E83F7E"/>
    <w:rsid w:val="34180991"/>
    <w:rsid w:val="34202AC7"/>
    <w:rsid w:val="342712D6"/>
    <w:rsid w:val="34300B44"/>
    <w:rsid w:val="34310915"/>
    <w:rsid w:val="343A03A1"/>
    <w:rsid w:val="349D2D1B"/>
    <w:rsid w:val="34A24527"/>
    <w:rsid w:val="34B25D21"/>
    <w:rsid w:val="34B67E1B"/>
    <w:rsid w:val="34BD5E1F"/>
    <w:rsid w:val="34D553A2"/>
    <w:rsid w:val="35076197"/>
    <w:rsid w:val="353A1CDE"/>
    <w:rsid w:val="35681367"/>
    <w:rsid w:val="356E2833"/>
    <w:rsid w:val="356E2C7F"/>
    <w:rsid w:val="35B00474"/>
    <w:rsid w:val="35EB7649"/>
    <w:rsid w:val="361404A4"/>
    <w:rsid w:val="362C1E6C"/>
    <w:rsid w:val="363D46DF"/>
    <w:rsid w:val="36603524"/>
    <w:rsid w:val="36796A98"/>
    <w:rsid w:val="367B0D63"/>
    <w:rsid w:val="36835E6A"/>
    <w:rsid w:val="36BD4F23"/>
    <w:rsid w:val="36EE7787"/>
    <w:rsid w:val="370922AC"/>
    <w:rsid w:val="372A61B3"/>
    <w:rsid w:val="37405ABF"/>
    <w:rsid w:val="374F5C96"/>
    <w:rsid w:val="376074C4"/>
    <w:rsid w:val="37626725"/>
    <w:rsid w:val="3763389D"/>
    <w:rsid w:val="376D0C14"/>
    <w:rsid w:val="3776625E"/>
    <w:rsid w:val="3785177F"/>
    <w:rsid w:val="378925FA"/>
    <w:rsid w:val="37EA0735"/>
    <w:rsid w:val="37FD58A7"/>
    <w:rsid w:val="382C1CED"/>
    <w:rsid w:val="387814AA"/>
    <w:rsid w:val="38871C41"/>
    <w:rsid w:val="388C7258"/>
    <w:rsid w:val="388E5944"/>
    <w:rsid w:val="38A32A72"/>
    <w:rsid w:val="38CF5508"/>
    <w:rsid w:val="38D46E50"/>
    <w:rsid w:val="38DD08FE"/>
    <w:rsid w:val="390F1C37"/>
    <w:rsid w:val="39185C9B"/>
    <w:rsid w:val="398E7820"/>
    <w:rsid w:val="39AA6C3D"/>
    <w:rsid w:val="39B67A47"/>
    <w:rsid w:val="39BB784C"/>
    <w:rsid w:val="39C944DB"/>
    <w:rsid w:val="39D03A68"/>
    <w:rsid w:val="39D51FF5"/>
    <w:rsid w:val="39DF5AAD"/>
    <w:rsid w:val="39E110D2"/>
    <w:rsid w:val="39E4156D"/>
    <w:rsid w:val="39E430C3"/>
    <w:rsid w:val="39E66E3B"/>
    <w:rsid w:val="39E84962"/>
    <w:rsid w:val="39F350B4"/>
    <w:rsid w:val="3A060AAF"/>
    <w:rsid w:val="3A136EA9"/>
    <w:rsid w:val="3A16089D"/>
    <w:rsid w:val="3A2D5356"/>
    <w:rsid w:val="3A3702CC"/>
    <w:rsid w:val="3A4F7367"/>
    <w:rsid w:val="3A5725BA"/>
    <w:rsid w:val="3A6D7CDC"/>
    <w:rsid w:val="3AA010E1"/>
    <w:rsid w:val="3AB83512"/>
    <w:rsid w:val="3AE72B98"/>
    <w:rsid w:val="3B072825"/>
    <w:rsid w:val="3B1A5BCB"/>
    <w:rsid w:val="3B5A363D"/>
    <w:rsid w:val="3B871F58"/>
    <w:rsid w:val="3BB44E81"/>
    <w:rsid w:val="3BB73CEA"/>
    <w:rsid w:val="3BDC04F6"/>
    <w:rsid w:val="3BDF48D2"/>
    <w:rsid w:val="3BE5183A"/>
    <w:rsid w:val="3BFA097C"/>
    <w:rsid w:val="3C041100"/>
    <w:rsid w:val="3C071CEE"/>
    <w:rsid w:val="3C074E47"/>
    <w:rsid w:val="3C0907D4"/>
    <w:rsid w:val="3C0F0D93"/>
    <w:rsid w:val="3C145852"/>
    <w:rsid w:val="3C36587E"/>
    <w:rsid w:val="3C462FC3"/>
    <w:rsid w:val="3C4B5F91"/>
    <w:rsid w:val="3C8F297A"/>
    <w:rsid w:val="3C9D6336"/>
    <w:rsid w:val="3CB542D9"/>
    <w:rsid w:val="3CC01BC6"/>
    <w:rsid w:val="3CD70CBD"/>
    <w:rsid w:val="3D000214"/>
    <w:rsid w:val="3D0E0B83"/>
    <w:rsid w:val="3D3D6AFE"/>
    <w:rsid w:val="3D4A148F"/>
    <w:rsid w:val="3D4D1C74"/>
    <w:rsid w:val="3D831D7D"/>
    <w:rsid w:val="3D885872"/>
    <w:rsid w:val="3DC254CA"/>
    <w:rsid w:val="3DD72EB4"/>
    <w:rsid w:val="3E936A41"/>
    <w:rsid w:val="3E966331"/>
    <w:rsid w:val="3EBC016B"/>
    <w:rsid w:val="3EF43DA9"/>
    <w:rsid w:val="3F1D41F4"/>
    <w:rsid w:val="3F423B5B"/>
    <w:rsid w:val="3F463E61"/>
    <w:rsid w:val="3F4B6C23"/>
    <w:rsid w:val="3F6031EC"/>
    <w:rsid w:val="3F6E3B5B"/>
    <w:rsid w:val="3F7469FC"/>
    <w:rsid w:val="3F9C7D6C"/>
    <w:rsid w:val="3FCE6CAC"/>
    <w:rsid w:val="3FE96A36"/>
    <w:rsid w:val="40181D19"/>
    <w:rsid w:val="401F23BF"/>
    <w:rsid w:val="401F4E55"/>
    <w:rsid w:val="40266773"/>
    <w:rsid w:val="402E0909"/>
    <w:rsid w:val="405B7A93"/>
    <w:rsid w:val="40771A6F"/>
    <w:rsid w:val="407C3165"/>
    <w:rsid w:val="40A66B30"/>
    <w:rsid w:val="40BA692C"/>
    <w:rsid w:val="40C955BA"/>
    <w:rsid w:val="40DD183E"/>
    <w:rsid w:val="40F2256A"/>
    <w:rsid w:val="40FA027D"/>
    <w:rsid w:val="40FF0D24"/>
    <w:rsid w:val="41362603"/>
    <w:rsid w:val="41421E90"/>
    <w:rsid w:val="414A3DAF"/>
    <w:rsid w:val="41790503"/>
    <w:rsid w:val="41C021D1"/>
    <w:rsid w:val="41E33C60"/>
    <w:rsid w:val="41F575D8"/>
    <w:rsid w:val="42504609"/>
    <w:rsid w:val="425E44D2"/>
    <w:rsid w:val="428565C1"/>
    <w:rsid w:val="42894808"/>
    <w:rsid w:val="428B67D2"/>
    <w:rsid w:val="42CA6EC7"/>
    <w:rsid w:val="42CC2B70"/>
    <w:rsid w:val="42D967E5"/>
    <w:rsid w:val="42DB7D6E"/>
    <w:rsid w:val="42EC6219"/>
    <w:rsid w:val="43120CA1"/>
    <w:rsid w:val="433504EC"/>
    <w:rsid w:val="43462F5B"/>
    <w:rsid w:val="43713C40"/>
    <w:rsid w:val="43951424"/>
    <w:rsid w:val="43A01E09"/>
    <w:rsid w:val="43A60385"/>
    <w:rsid w:val="43BB44A5"/>
    <w:rsid w:val="442E1B0B"/>
    <w:rsid w:val="4481766A"/>
    <w:rsid w:val="449563AF"/>
    <w:rsid w:val="44AC2A30"/>
    <w:rsid w:val="44B02A33"/>
    <w:rsid w:val="44C13577"/>
    <w:rsid w:val="44D76546"/>
    <w:rsid w:val="44D8609B"/>
    <w:rsid w:val="44DA5E0C"/>
    <w:rsid w:val="45091C30"/>
    <w:rsid w:val="450C4F8D"/>
    <w:rsid w:val="451862C5"/>
    <w:rsid w:val="451F3201"/>
    <w:rsid w:val="452B674F"/>
    <w:rsid w:val="45323D49"/>
    <w:rsid w:val="45343151"/>
    <w:rsid w:val="4544071B"/>
    <w:rsid w:val="45627B7F"/>
    <w:rsid w:val="45701CAF"/>
    <w:rsid w:val="45BB405F"/>
    <w:rsid w:val="45D1274E"/>
    <w:rsid w:val="462A6302"/>
    <w:rsid w:val="46771687"/>
    <w:rsid w:val="4677696F"/>
    <w:rsid w:val="468A0B4E"/>
    <w:rsid w:val="46C95B1B"/>
    <w:rsid w:val="46DA1C8B"/>
    <w:rsid w:val="472E0C01"/>
    <w:rsid w:val="47353A39"/>
    <w:rsid w:val="473D4DFD"/>
    <w:rsid w:val="47420541"/>
    <w:rsid w:val="475346C5"/>
    <w:rsid w:val="47577C97"/>
    <w:rsid w:val="478B5BE9"/>
    <w:rsid w:val="47DC38E5"/>
    <w:rsid w:val="47DD7AD0"/>
    <w:rsid w:val="47E6777F"/>
    <w:rsid w:val="4839711A"/>
    <w:rsid w:val="484138FF"/>
    <w:rsid w:val="48455D66"/>
    <w:rsid w:val="485D476D"/>
    <w:rsid w:val="48603A0C"/>
    <w:rsid w:val="48820B3C"/>
    <w:rsid w:val="48846A34"/>
    <w:rsid w:val="488E4926"/>
    <w:rsid w:val="48912A42"/>
    <w:rsid w:val="48C32A69"/>
    <w:rsid w:val="4903390D"/>
    <w:rsid w:val="493C0826"/>
    <w:rsid w:val="493D00FA"/>
    <w:rsid w:val="49627B61"/>
    <w:rsid w:val="498149C8"/>
    <w:rsid w:val="49C1008F"/>
    <w:rsid w:val="49C64593"/>
    <w:rsid w:val="49D22F38"/>
    <w:rsid w:val="49D90CDC"/>
    <w:rsid w:val="49DF05D0"/>
    <w:rsid w:val="49E85F40"/>
    <w:rsid w:val="4A0F25ED"/>
    <w:rsid w:val="4A3B5AC1"/>
    <w:rsid w:val="4A5C4A8C"/>
    <w:rsid w:val="4A7364C9"/>
    <w:rsid w:val="4A764D1F"/>
    <w:rsid w:val="4AAD3EC1"/>
    <w:rsid w:val="4AF836B1"/>
    <w:rsid w:val="4B29302C"/>
    <w:rsid w:val="4B4560F0"/>
    <w:rsid w:val="4B5160DF"/>
    <w:rsid w:val="4B876A0F"/>
    <w:rsid w:val="4B9009B5"/>
    <w:rsid w:val="4B9D0C9A"/>
    <w:rsid w:val="4B9E4E2E"/>
    <w:rsid w:val="4BAD5A0B"/>
    <w:rsid w:val="4BB161DA"/>
    <w:rsid w:val="4BCE6260"/>
    <w:rsid w:val="4C26426D"/>
    <w:rsid w:val="4C5E497C"/>
    <w:rsid w:val="4C7D0742"/>
    <w:rsid w:val="4C972E10"/>
    <w:rsid w:val="4CA65FFC"/>
    <w:rsid w:val="4CC53C53"/>
    <w:rsid w:val="4CE1117D"/>
    <w:rsid w:val="4CE75AFC"/>
    <w:rsid w:val="4D1611AF"/>
    <w:rsid w:val="4D321A66"/>
    <w:rsid w:val="4D891B60"/>
    <w:rsid w:val="4DA96EDD"/>
    <w:rsid w:val="4DB452FB"/>
    <w:rsid w:val="4DCE4096"/>
    <w:rsid w:val="4DE85A9D"/>
    <w:rsid w:val="4DEA4E3B"/>
    <w:rsid w:val="4E2E44B5"/>
    <w:rsid w:val="4E3B79EB"/>
    <w:rsid w:val="4E4C7495"/>
    <w:rsid w:val="4E656AE1"/>
    <w:rsid w:val="4E904547"/>
    <w:rsid w:val="4E9953B3"/>
    <w:rsid w:val="4EBE03E6"/>
    <w:rsid w:val="4ED14431"/>
    <w:rsid w:val="4EDC134A"/>
    <w:rsid w:val="4EF86F9D"/>
    <w:rsid w:val="4F124845"/>
    <w:rsid w:val="4F325067"/>
    <w:rsid w:val="4F477EC7"/>
    <w:rsid w:val="4F4E6273"/>
    <w:rsid w:val="4F754A92"/>
    <w:rsid w:val="4F847543"/>
    <w:rsid w:val="4F96089D"/>
    <w:rsid w:val="4FAD50BA"/>
    <w:rsid w:val="4FBD3D43"/>
    <w:rsid w:val="4FD73F93"/>
    <w:rsid w:val="4FF359B6"/>
    <w:rsid w:val="4FF82AA0"/>
    <w:rsid w:val="501935BF"/>
    <w:rsid w:val="503401D6"/>
    <w:rsid w:val="503F29AA"/>
    <w:rsid w:val="50515A60"/>
    <w:rsid w:val="506D46AA"/>
    <w:rsid w:val="50E61077"/>
    <w:rsid w:val="50F4478A"/>
    <w:rsid w:val="51387B25"/>
    <w:rsid w:val="515B02A4"/>
    <w:rsid w:val="51606014"/>
    <w:rsid w:val="516721B8"/>
    <w:rsid w:val="51693400"/>
    <w:rsid w:val="51777EA8"/>
    <w:rsid w:val="518351CB"/>
    <w:rsid w:val="51845A96"/>
    <w:rsid w:val="51BA2038"/>
    <w:rsid w:val="51CC5DE4"/>
    <w:rsid w:val="51D92DE3"/>
    <w:rsid w:val="51E867A6"/>
    <w:rsid w:val="520619A9"/>
    <w:rsid w:val="5206208D"/>
    <w:rsid w:val="521623BE"/>
    <w:rsid w:val="521F2FAF"/>
    <w:rsid w:val="52243E2B"/>
    <w:rsid w:val="523827B0"/>
    <w:rsid w:val="5248023B"/>
    <w:rsid w:val="52AE4270"/>
    <w:rsid w:val="52CB130A"/>
    <w:rsid w:val="52D01FDF"/>
    <w:rsid w:val="52ED1BDD"/>
    <w:rsid w:val="52F448FA"/>
    <w:rsid w:val="52FE550B"/>
    <w:rsid w:val="53202F66"/>
    <w:rsid w:val="53325A52"/>
    <w:rsid w:val="535569D5"/>
    <w:rsid w:val="537A2677"/>
    <w:rsid w:val="539F009E"/>
    <w:rsid w:val="539F032F"/>
    <w:rsid w:val="53AE1C67"/>
    <w:rsid w:val="53C953AC"/>
    <w:rsid w:val="53CF07BE"/>
    <w:rsid w:val="541B114A"/>
    <w:rsid w:val="542502D3"/>
    <w:rsid w:val="54387E3C"/>
    <w:rsid w:val="5467093A"/>
    <w:rsid w:val="54696247"/>
    <w:rsid w:val="547C41CC"/>
    <w:rsid w:val="54AA2AC8"/>
    <w:rsid w:val="54AF1E5F"/>
    <w:rsid w:val="54BC28B8"/>
    <w:rsid w:val="54D207E7"/>
    <w:rsid w:val="54D2203E"/>
    <w:rsid w:val="54DF6509"/>
    <w:rsid w:val="54F55D2D"/>
    <w:rsid w:val="54F72BA4"/>
    <w:rsid w:val="550827EE"/>
    <w:rsid w:val="550D4B56"/>
    <w:rsid w:val="5512068D"/>
    <w:rsid w:val="5513670C"/>
    <w:rsid w:val="551B2DAE"/>
    <w:rsid w:val="558B3766"/>
    <w:rsid w:val="5595676E"/>
    <w:rsid w:val="55A90545"/>
    <w:rsid w:val="55CD7007"/>
    <w:rsid w:val="55E1125E"/>
    <w:rsid w:val="56054985"/>
    <w:rsid w:val="56112685"/>
    <w:rsid w:val="561227A5"/>
    <w:rsid w:val="56135E24"/>
    <w:rsid w:val="56147351"/>
    <w:rsid w:val="564E3947"/>
    <w:rsid w:val="564F7D0E"/>
    <w:rsid w:val="56700454"/>
    <w:rsid w:val="56770786"/>
    <w:rsid w:val="56906ADC"/>
    <w:rsid w:val="56932852"/>
    <w:rsid w:val="56C02C5D"/>
    <w:rsid w:val="56D77906"/>
    <w:rsid w:val="56EB5639"/>
    <w:rsid w:val="56F02366"/>
    <w:rsid w:val="56F4496E"/>
    <w:rsid w:val="57004092"/>
    <w:rsid w:val="57325016"/>
    <w:rsid w:val="57372BFA"/>
    <w:rsid w:val="57961A49"/>
    <w:rsid w:val="57970D22"/>
    <w:rsid w:val="57971C04"/>
    <w:rsid w:val="579B705F"/>
    <w:rsid w:val="57B96040"/>
    <w:rsid w:val="57C00874"/>
    <w:rsid w:val="57D5433B"/>
    <w:rsid w:val="57DE5B04"/>
    <w:rsid w:val="57E97DCB"/>
    <w:rsid w:val="58262DCD"/>
    <w:rsid w:val="58290FE2"/>
    <w:rsid w:val="583534F0"/>
    <w:rsid w:val="586C4558"/>
    <w:rsid w:val="586E5CEB"/>
    <w:rsid w:val="58CF6456"/>
    <w:rsid w:val="58D00F8B"/>
    <w:rsid w:val="59092819"/>
    <w:rsid w:val="592163BC"/>
    <w:rsid w:val="59266DFD"/>
    <w:rsid w:val="595F0094"/>
    <w:rsid w:val="597933D0"/>
    <w:rsid w:val="59A034A8"/>
    <w:rsid w:val="59C14FEB"/>
    <w:rsid w:val="59CBB726"/>
    <w:rsid w:val="59D35561"/>
    <w:rsid w:val="59D8603D"/>
    <w:rsid w:val="59E8543D"/>
    <w:rsid w:val="5A183C84"/>
    <w:rsid w:val="5A305661"/>
    <w:rsid w:val="5A495184"/>
    <w:rsid w:val="5A4E0252"/>
    <w:rsid w:val="5A89431B"/>
    <w:rsid w:val="5A95080B"/>
    <w:rsid w:val="5AA71877"/>
    <w:rsid w:val="5AD435CB"/>
    <w:rsid w:val="5AF20C91"/>
    <w:rsid w:val="5B101B12"/>
    <w:rsid w:val="5B123195"/>
    <w:rsid w:val="5B33086C"/>
    <w:rsid w:val="5B57545A"/>
    <w:rsid w:val="5B6339D6"/>
    <w:rsid w:val="5B704567"/>
    <w:rsid w:val="5B7F0E2F"/>
    <w:rsid w:val="5B8C73EB"/>
    <w:rsid w:val="5B8F0C89"/>
    <w:rsid w:val="5B9A6906"/>
    <w:rsid w:val="5BEE349D"/>
    <w:rsid w:val="5C353D54"/>
    <w:rsid w:val="5C3C7032"/>
    <w:rsid w:val="5C3D6788"/>
    <w:rsid w:val="5C4C26D6"/>
    <w:rsid w:val="5C864B2F"/>
    <w:rsid w:val="5C902F0B"/>
    <w:rsid w:val="5C9F7056"/>
    <w:rsid w:val="5CE024FC"/>
    <w:rsid w:val="5CED3EB9"/>
    <w:rsid w:val="5D211DB5"/>
    <w:rsid w:val="5D491F8A"/>
    <w:rsid w:val="5D577585"/>
    <w:rsid w:val="5DB4730B"/>
    <w:rsid w:val="5DBE7313"/>
    <w:rsid w:val="5DCF1811"/>
    <w:rsid w:val="5DD95466"/>
    <w:rsid w:val="5E3B0C54"/>
    <w:rsid w:val="5E421FE3"/>
    <w:rsid w:val="5E48511F"/>
    <w:rsid w:val="5E5341F0"/>
    <w:rsid w:val="5E604B5F"/>
    <w:rsid w:val="5E795FA4"/>
    <w:rsid w:val="5E7D1355"/>
    <w:rsid w:val="5E8F15AE"/>
    <w:rsid w:val="5EA412B3"/>
    <w:rsid w:val="5EE4309A"/>
    <w:rsid w:val="5EE564E9"/>
    <w:rsid w:val="5EFC41A7"/>
    <w:rsid w:val="5F210127"/>
    <w:rsid w:val="5F3E1360"/>
    <w:rsid w:val="5F5405F3"/>
    <w:rsid w:val="5F543057"/>
    <w:rsid w:val="5F5B1B7C"/>
    <w:rsid w:val="5F5C0E82"/>
    <w:rsid w:val="60090E7A"/>
    <w:rsid w:val="60177B46"/>
    <w:rsid w:val="602524AA"/>
    <w:rsid w:val="607956A0"/>
    <w:rsid w:val="60C22E4B"/>
    <w:rsid w:val="60D10C3C"/>
    <w:rsid w:val="60D5244B"/>
    <w:rsid w:val="60E972F2"/>
    <w:rsid w:val="60FD6FB8"/>
    <w:rsid w:val="61023B85"/>
    <w:rsid w:val="610B6CD7"/>
    <w:rsid w:val="61306C0B"/>
    <w:rsid w:val="61361195"/>
    <w:rsid w:val="614B4B91"/>
    <w:rsid w:val="61587D6F"/>
    <w:rsid w:val="61646714"/>
    <w:rsid w:val="617B6485"/>
    <w:rsid w:val="61840DE9"/>
    <w:rsid w:val="618C2AC9"/>
    <w:rsid w:val="619B2DFE"/>
    <w:rsid w:val="61D037CF"/>
    <w:rsid w:val="61D511F3"/>
    <w:rsid w:val="61E60964"/>
    <w:rsid w:val="621A6DD3"/>
    <w:rsid w:val="62755E9B"/>
    <w:rsid w:val="62896C3E"/>
    <w:rsid w:val="629921EC"/>
    <w:rsid w:val="62BD7466"/>
    <w:rsid w:val="62C3350C"/>
    <w:rsid w:val="62E018F9"/>
    <w:rsid w:val="62EC076F"/>
    <w:rsid w:val="63006D09"/>
    <w:rsid w:val="63047520"/>
    <w:rsid w:val="63214E3C"/>
    <w:rsid w:val="632C4AB0"/>
    <w:rsid w:val="63402869"/>
    <w:rsid w:val="635C6A3B"/>
    <w:rsid w:val="635E3A90"/>
    <w:rsid w:val="636D4B59"/>
    <w:rsid w:val="639B000C"/>
    <w:rsid w:val="63CE7752"/>
    <w:rsid w:val="63D3192F"/>
    <w:rsid w:val="63E1229E"/>
    <w:rsid w:val="63FB3BF1"/>
    <w:rsid w:val="63FF0976"/>
    <w:rsid w:val="64664551"/>
    <w:rsid w:val="64816EF7"/>
    <w:rsid w:val="649015CE"/>
    <w:rsid w:val="64952682"/>
    <w:rsid w:val="64A8118A"/>
    <w:rsid w:val="64D55D3C"/>
    <w:rsid w:val="64EF09EB"/>
    <w:rsid w:val="64F47465"/>
    <w:rsid w:val="65027F14"/>
    <w:rsid w:val="650A7F98"/>
    <w:rsid w:val="65426E45"/>
    <w:rsid w:val="65527DF4"/>
    <w:rsid w:val="65841133"/>
    <w:rsid w:val="65AB560A"/>
    <w:rsid w:val="65C50244"/>
    <w:rsid w:val="65CE0600"/>
    <w:rsid w:val="65EB7404"/>
    <w:rsid w:val="65F12C87"/>
    <w:rsid w:val="661A0A16"/>
    <w:rsid w:val="663C1BD1"/>
    <w:rsid w:val="66447339"/>
    <w:rsid w:val="666F3B91"/>
    <w:rsid w:val="66A50BA1"/>
    <w:rsid w:val="66B43C9A"/>
    <w:rsid w:val="66BE0B10"/>
    <w:rsid w:val="66C77A1C"/>
    <w:rsid w:val="66D34D52"/>
    <w:rsid w:val="66F95103"/>
    <w:rsid w:val="67204E8B"/>
    <w:rsid w:val="67424959"/>
    <w:rsid w:val="67424E02"/>
    <w:rsid w:val="67537FEA"/>
    <w:rsid w:val="67825B46"/>
    <w:rsid w:val="67CA01CB"/>
    <w:rsid w:val="67CE48E7"/>
    <w:rsid w:val="67FB00B0"/>
    <w:rsid w:val="67FC2802"/>
    <w:rsid w:val="67FE01D8"/>
    <w:rsid w:val="68160644"/>
    <w:rsid w:val="682E42DA"/>
    <w:rsid w:val="68570D81"/>
    <w:rsid w:val="68581629"/>
    <w:rsid w:val="688431F8"/>
    <w:rsid w:val="68B04D04"/>
    <w:rsid w:val="68CA50AF"/>
    <w:rsid w:val="691A22E8"/>
    <w:rsid w:val="692869A0"/>
    <w:rsid w:val="692B3817"/>
    <w:rsid w:val="69605F59"/>
    <w:rsid w:val="69AD14D5"/>
    <w:rsid w:val="6A0C26D7"/>
    <w:rsid w:val="6A17750F"/>
    <w:rsid w:val="6A222CC8"/>
    <w:rsid w:val="6A22716C"/>
    <w:rsid w:val="6A716309"/>
    <w:rsid w:val="6A8E79E9"/>
    <w:rsid w:val="6A963FCE"/>
    <w:rsid w:val="6ACD3676"/>
    <w:rsid w:val="6AF13F41"/>
    <w:rsid w:val="6B0625EA"/>
    <w:rsid w:val="6B1E16E2"/>
    <w:rsid w:val="6B2C62E0"/>
    <w:rsid w:val="6B2C7070"/>
    <w:rsid w:val="6B2E6B50"/>
    <w:rsid w:val="6BA50055"/>
    <w:rsid w:val="6BC406A1"/>
    <w:rsid w:val="6BD46244"/>
    <w:rsid w:val="6BD80E64"/>
    <w:rsid w:val="6BE442F0"/>
    <w:rsid w:val="6BF450B3"/>
    <w:rsid w:val="6C556836"/>
    <w:rsid w:val="6C745703"/>
    <w:rsid w:val="6D060929"/>
    <w:rsid w:val="6D427ECD"/>
    <w:rsid w:val="6D5511FA"/>
    <w:rsid w:val="6D8818A2"/>
    <w:rsid w:val="6DA973C3"/>
    <w:rsid w:val="6DBB3B60"/>
    <w:rsid w:val="6DBE0F5A"/>
    <w:rsid w:val="6E236D2D"/>
    <w:rsid w:val="6E2E7DBF"/>
    <w:rsid w:val="6E364F94"/>
    <w:rsid w:val="6E7755F0"/>
    <w:rsid w:val="6EA37788"/>
    <w:rsid w:val="6EB94846"/>
    <w:rsid w:val="6EBD6D1B"/>
    <w:rsid w:val="6ED325FE"/>
    <w:rsid w:val="6EDE1B8E"/>
    <w:rsid w:val="6EEE0F72"/>
    <w:rsid w:val="6F020FE4"/>
    <w:rsid w:val="6F101C89"/>
    <w:rsid w:val="6F1D23A3"/>
    <w:rsid w:val="6F596604"/>
    <w:rsid w:val="6F622901"/>
    <w:rsid w:val="6F6710C9"/>
    <w:rsid w:val="6F854425"/>
    <w:rsid w:val="6FA24EF9"/>
    <w:rsid w:val="6FCF0562"/>
    <w:rsid w:val="6FD54399"/>
    <w:rsid w:val="6FF37279"/>
    <w:rsid w:val="701A403B"/>
    <w:rsid w:val="703E688C"/>
    <w:rsid w:val="706C2B24"/>
    <w:rsid w:val="708636BF"/>
    <w:rsid w:val="70893AA1"/>
    <w:rsid w:val="709C6C3E"/>
    <w:rsid w:val="70A506C5"/>
    <w:rsid w:val="70A63F21"/>
    <w:rsid w:val="70D70CB1"/>
    <w:rsid w:val="70DC0075"/>
    <w:rsid w:val="70E247A7"/>
    <w:rsid w:val="710F5EE8"/>
    <w:rsid w:val="713D3C4A"/>
    <w:rsid w:val="71771B4C"/>
    <w:rsid w:val="71791FCA"/>
    <w:rsid w:val="719E532A"/>
    <w:rsid w:val="71B34705"/>
    <w:rsid w:val="71D7278D"/>
    <w:rsid w:val="71FC0C97"/>
    <w:rsid w:val="723921E0"/>
    <w:rsid w:val="72583FCB"/>
    <w:rsid w:val="72691DB6"/>
    <w:rsid w:val="726D462A"/>
    <w:rsid w:val="7275252F"/>
    <w:rsid w:val="72917D36"/>
    <w:rsid w:val="72947C01"/>
    <w:rsid w:val="729624A5"/>
    <w:rsid w:val="72C07522"/>
    <w:rsid w:val="72C25048"/>
    <w:rsid w:val="72FD2CFB"/>
    <w:rsid w:val="73263829"/>
    <w:rsid w:val="733F2B3D"/>
    <w:rsid w:val="73544584"/>
    <w:rsid w:val="736E78F5"/>
    <w:rsid w:val="73834F73"/>
    <w:rsid w:val="7386198F"/>
    <w:rsid w:val="73C8413F"/>
    <w:rsid w:val="7418247F"/>
    <w:rsid w:val="74620891"/>
    <w:rsid w:val="747F7B53"/>
    <w:rsid w:val="7480186B"/>
    <w:rsid w:val="74E20384"/>
    <w:rsid w:val="750123B0"/>
    <w:rsid w:val="7515134A"/>
    <w:rsid w:val="75347015"/>
    <w:rsid w:val="75407E3D"/>
    <w:rsid w:val="755175CD"/>
    <w:rsid w:val="75591F38"/>
    <w:rsid w:val="755B4C61"/>
    <w:rsid w:val="756C3F48"/>
    <w:rsid w:val="75997EBA"/>
    <w:rsid w:val="759A0021"/>
    <w:rsid w:val="75C13608"/>
    <w:rsid w:val="75EE3ABE"/>
    <w:rsid w:val="76251A79"/>
    <w:rsid w:val="762701C2"/>
    <w:rsid w:val="7629670B"/>
    <w:rsid w:val="76733250"/>
    <w:rsid w:val="768F5B89"/>
    <w:rsid w:val="769211D6"/>
    <w:rsid w:val="76A00647"/>
    <w:rsid w:val="76AF1D88"/>
    <w:rsid w:val="76BC5A07"/>
    <w:rsid w:val="76C411E2"/>
    <w:rsid w:val="76D0242A"/>
    <w:rsid w:val="76FB4E76"/>
    <w:rsid w:val="77040325"/>
    <w:rsid w:val="770D07F7"/>
    <w:rsid w:val="77282B75"/>
    <w:rsid w:val="773217FF"/>
    <w:rsid w:val="774626EC"/>
    <w:rsid w:val="775F1B27"/>
    <w:rsid w:val="777C69F4"/>
    <w:rsid w:val="77A26F5A"/>
    <w:rsid w:val="77B14B57"/>
    <w:rsid w:val="77B863BC"/>
    <w:rsid w:val="77DC6E04"/>
    <w:rsid w:val="77DE2925"/>
    <w:rsid w:val="782D04B7"/>
    <w:rsid w:val="782E0AB8"/>
    <w:rsid w:val="78362761"/>
    <w:rsid w:val="78574AAF"/>
    <w:rsid w:val="78730E6C"/>
    <w:rsid w:val="788D45E4"/>
    <w:rsid w:val="78BA71F5"/>
    <w:rsid w:val="78BC60CB"/>
    <w:rsid w:val="78C55204"/>
    <w:rsid w:val="78C818CA"/>
    <w:rsid w:val="78E24696"/>
    <w:rsid w:val="78F61EF0"/>
    <w:rsid w:val="790C34C1"/>
    <w:rsid w:val="792810C7"/>
    <w:rsid w:val="79443692"/>
    <w:rsid w:val="795811AD"/>
    <w:rsid w:val="79614242"/>
    <w:rsid w:val="79653FA8"/>
    <w:rsid w:val="79A0592F"/>
    <w:rsid w:val="79A83838"/>
    <w:rsid w:val="79AB5ED5"/>
    <w:rsid w:val="79EA1A55"/>
    <w:rsid w:val="7A021207"/>
    <w:rsid w:val="7A1F0FD2"/>
    <w:rsid w:val="7A2605B3"/>
    <w:rsid w:val="7A495A0A"/>
    <w:rsid w:val="7A5A7E2E"/>
    <w:rsid w:val="7A665062"/>
    <w:rsid w:val="7A7830A2"/>
    <w:rsid w:val="7A821C2B"/>
    <w:rsid w:val="7A836C63"/>
    <w:rsid w:val="7A965738"/>
    <w:rsid w:val="7ABD6D9B"/>
    <w:rsid w:val="7AD95625"/>
    <w:rsid w:val="7AEB3F6C"/>
    <w:rsid w:val="7AF1471D"/>
    <w:rsid w:val="7AFD57B8"/>
    <w:rsid w:val="7B1B47B9"/>
    <w:rsid w:val="7B2D23F7"/>
    <w:rsid w:val="7B3E26B1"/>
    <w:rsid w:val="7B444CC0"/>
    <w:rsid w:val="7B7610C6"/>
    <w:rsid w:val="7B7E37E5"/>
    <w:rsid w:val="7BA8453B"/>
    <w:rsid w:val="7BB02292"/>
    <w:rsid w:val="7BE41682"/>
    <w:rsid w:val="7BF8502E"/>
    <w:rsid w:val="7BF936EC"/>
    <w:rsid w:val="7C060A8C"/>
    <w:rsid w:val="7C337BB6"/>
    <w:rsid w:val="7C3D62CC"/>
    <w:rsid w:val="7C453A8F"/>
    <w:rsid w:val="7C5E1373"/>
    <w:rsid w:val="7C6D795F"/>
    <w:rsid w:val="7C8B5532"/>
    <w:rsid w:val="7CA13F21"/>
    <w:rsid w:val="7CA73C2D"/>
    <w:rsid w:val="7CAD2B69"/>
    <w:rsid w:val="7CC642BD"/>
    <w:rsid w:val="7CD51785"/>
    <w:rsid w:val="7CDF0E13"/>
    <w:rsid w:val="7CE00EED"/>
    <w:rsid w:val="7D076399"/>
    <w:rsid w:val="7D0A41BC"/>
    <w:rsid w:val="7D2D086E"/>
    <w:rsid w:val="7D3C40E5"/>
    <w:rsid w:val="7D4409B6"/>
    <w:rsid w:val="7D4854E3"/>
    <w:rsid w:val="7D4C0330"/>
    <w:rsid w:val="7D8F41A6"/>
    <w:rsid w:val="7D904B7A"/>
    <w:rsid w:val="7D951B6B"/>
    <w:rsid w:val="7DA8673B"/>
    <w:rsid w:val="7DB452FD"/>
    <w:rsid w:val="7DC73E5B"/>
    <w:rsid w:val="7DC91006"/>
    <w:rsid w:val="7DCF0969"/>
    <w:rsid w:val="7DD32800"/>
    <w:rsid w:val="7DD82F61"/>
    <w:rsid w:val="7DE60785"/>
    <w:rsid w:val="7E244E09"/>
    <w:rsid w:val="7E6C2E66"/>
    <w:rsid w:val="7E6F2AFC"/>
    <w:rsid w:val="7E7D318F"/>
    <w:rsid w:val="7E7D3427"/>
    <w:rsid w:val="7E803C11"/>
    <w:rsid w:val="7EB07234"/>
    <w:rsid w:val="7EB92146"/>
    <w:rsid w:val="7ECA60D8"/>
    <w:rsid w:val="7ECF4B58"/>
    <w:rsid w:val="7ED625A7"/>
    <w:rsid w:val="7EDB7BBE"/>
    <w:rsid w:val="7EEA370F"/>
    <w:rsid w:val="7EEE3B35"/>
    <w:rsid w:val="7F021B28"/>
    <w:rsid w:val="7F0E4686"/>
    <w:rsid w:val="7F40525B"/>
    <w:rsid w:val="7F46740A"/>
    <w:rsid w:val="7F530199"/>
    <w:rsid w:val="7F7362E4"/>
    <w:rsid w:val="7F884064"/>
    <w:rsid w:val="7FA36202"/>
    <w:rsid w:val="7FCB7F38"/>
    <w:rsid w:val="7FD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keepNext/>
      <w:keepLines/>
      <w:spacing w:before="50" w:beforeLines="50" w:after="50" w:afterLines="50" w:line="276" w:lineRule="auto"/>
      <w:ind w:firstLine="0" w:firstLineChars="0"/>
      <w:jc w:val="left"/>
      <w:outlineLvl w:val="1"/>
    </w:pPr>
    <w:rPr>
      <w:rFonts w:eastAsia="楷体" w:cstheme="majorBidi"/>
      <w:bCs/>
      <w:sz w:val="32"/>
      <w:szCs w:val="32"/>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880" w:firstLineChars="200"/>
    </w:pPr>
    <w:rPr>
      <w:rFonts w:ascii="Times New Roman" w:hAnsi="Times New Roman" w:eastAsia="仿宋_GB2312"/>
      <w:sz w:val="32"/>
    </w:rPr>
  </w:style>
  <w:style w:type="paragraph" w:styleId="6">
    <w:name w:val="annotation text"/>
    <w:basedOn w:val="1"/>
    <w:qFormat/>
    <w:uiPriority w:val="0"/>
    <w:pPr>
      <w:jc w:val="left"/>
    </w:pPr>
  </w:style>
  <w:style w:type="paragraph" w:styleId="7">
    <w:name w:val="Body Text"/>
    <w:basedOn w:val="1"/>
    <w:next w:val="8"/>
    <w:qFormat/>
    <w:uiPriority w:val="0"/>
    <w:pPr>
      <w:spacing w:after="140" w:line="276" w:lineRule="auto"/>
    </w:pPr>
  </w:style>
  <w:style w:type="paragraph" w:styleId="8">
    <w:name w:val="Title"/>
    <w:basedOn w:val="1"/>
    <w:next w:val="1"/>
    <w:qFormat/>
    <w:uiPriority w:val="0"/>
    <w:pPr>
      <w:spacing w:before="480" w:after="480" w:line="288" w:lineRule="auto"/>
      <w:ind w:left="0"/>
    </w:pPr>
    <w:rPr>
      <w:rFonts w:ascii="Arial" w:hAnsi="Arial" w:eastAsia="等线" w:cs="Arial"/>
      <w:b/>
      <w:bCs/>
      <w:sz w:val="52"/>
      <w:szCs w:val="52"/>
    </w:rPr>
  </w:style>
  <w:style w:type="paragraph" w:styleId="9">
    <w:name w:val="footer"/>
    <w:basedOn w:val="1"/>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footnote text"/>
    <w:basedOn w:val="1"/>
    <w:qFormat/>
    <w:uiPriority w:val="0"/>
    <w:pPr>
      <w:snapToGrid w:val="0"/>
      <w:jc w:val="left"/>
    </w:pPr>
    <w:rPr>
      <w:sz w:val="18"/>
    </w:rPr>
  </w:style>
  <w:style w:type="paragraph" w:styleId="13">
    <w:name w:val="toc 2"/>
    <w:next w:val="1"/>
    <w:qFormat/>
    <w:uiPriority w:val="39"/>
    <w:pPr>
      <w:widowControl w:val="0"/>
      <w:ind w:left="420"/>
      <w:jc w:val="both"/>
    </w:pPr>
    <w:rPr>
      <w:rFonts w:asciiTheme="minorHAnsi" w:hAnsiTheme="minorHAnsi" w:eastAsiaTheme="minorEastAsia" w:cstheme="minorBidi"/>
      <w:kern w:val="2"/>
      <w:sz w:val="21"/>
      <w:szCs w:val="24"/>
      <w:lang w:val="en-US" w:eastAsia="zh-CN" w:bidi="ar-SA"/>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7"/>
    <w:next w:val="16"/>
    <w:qFormat/>
    <w:uiPriority w:val="0"/>
    <w:pPr>
      <w:ind w:firstLine="420" w:firstLineChars="100"/>
    </w:pPr>
    <w:rPr>
      <w:rFonts w:ascii="Times New Roman" w:hAnsi="Times New Roman" w:eastAsia="楷体"/>
      <w:sz w:val="28"/>
    </w:rPr>
  </w:style>
  <w:style w:type="paragraph" w:styleId="16">
    <w:name w:val="Body Text First Indent 2"/>
    <w:basedOn w:val="1"/>
    <w:next w:val="1"/>
    <w:qFormat/>
    <w:uiPriority w:val="0"/>
    <w:pPr>
      <w:ind w:firstLine="420" w:firstLineChars="200"/>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Emphasis"/>
    <w:basedOn w:val="19"/>
    <w:qFormat/>
    <w:uiPriority w:val="0"/>
    <w:rPr>
      <w:i/>
    </w:rPr>
  </w:style>
  <w:style w:type="character" w:styleId="22">
    <w:name w:val="footnote reference"/>
    <w:basedOn w:val="19"/>
    <w:qFormat/>
    <w:uiPriority w:val="0"/>
    <w:rPr>
      <w:vertAlign w:val="superscript"/>
    </w:rPr>
  </w:style>
  <w:style w:type="paragraph" w:customStyle="1" w:styleId="23">
    <w:name w:val="Body Text First Indent 21"/>
    <w:basedOn w:val="24"/>
    <w:qFormat/>
    <w:uiPriority w:val="0"/>
    <w:pPr>
      <w:spacing w:line="360" w:lineRule="auto"/>
    </w:pPr>
    <w:rPr>
      <w:rFonts w:eastAsia="宋体"/>
      <w:sz w:val="24"/>
    </w:rPr>
  </w:style>
  <w:style w:type="paragraph" w:customStyle="1" w:styleId="24">
    <w:name w:val="Body Text Indent1"/>
    <w:basedOn w:val="1"/>
    <w:qFormat/>
    <w:uiPriority w:val="0"/>
    <w:pPr>
      <w:spacing w:line="150" w:lineRule="atLeast"/>
      <w:ind w:firstLine="420" w:firstLineChars="200"/>
      <w:textAlignment w:val="baseline"/>
    </w:pPr>
    <w:rPr>
      <w:rFonts w:ascii="Times New Roman" w:hAnsi="Times New Roman" w:cs="Times New Roman"/>
      <w:szCs w:val="24"/>
      <w:lang w:bidi="ar-SA"/>
    </w:rPr>
  </w:style>
  <w:style w:type="paragraph" w:customStyle="1" w:styleId="25">
    <w:name w:val="2级标题"/>
    <w:basedOn w:val="1"/>
    <w:qFormat/>
    <w:uiPriority w:val="0"/>
    <w:pPr>
      <w:keepNext w:val="0"/>
      <w:keepLines w:val="0"/>
      <w:widowControl w:val="0"/>
      <w:suppressLineNumbers w:val="0"/>
      <w:spacing w:before="0" w:beforeAutospacing="0" w:after="0" w:afterAutospacing="0" w:line="600" w:lineRule="exact"/>
      <w:ind w:left="0" w:right="0" w:firstLine="200" w:firstLineChars="200"/>
      <w:jc w:val="both"/>
      <w:outlineLvl w:val="2"/>
    </w:pPr>
    <w:rPr>
      <w:rFonts w:hint="eastAsia" w:ascii="方正小标宋简体" w:hAnsi="方正小标宋简体" w:eastAsia="方正楷体_GBK" w:cs="Times New Roman"/>
      <w:kern w:val="2"/>
      <w:sz w:val="32"/>
      <w:szCs w:val="32"/>
      <w:lang w:val="en-US" w:eastAsia="zh-CN" w:bidi="ar"/>
    </w:rPr>
  </w:style>
  <w:style w:type="character" w:customStyle="1" w:styleId="26">
    <w:name w:val="fontstyle01"/>
    <w:basedOn w:val="19"/>
    <w:qFormat/>
    <w:uiPriority w:val="0"/>
    <w:rPr>
      <w:rFonts w:ascii="仿宋" w:hAnsi="仿宋" w:eastAsia="仿宋" w:cs="仿宋"/>
      <w:color w:val="000000"/>
      <w:sz w:val="28"/>
      <w:szCs w:val="28"/>
    </w:rPr>
  </w:style>
  <w:style w:type="paragraph" w:customStyle="1" w:styleId="27">
    <w:name w:val="_Style 13"/>
    <w:qFormat/>
    <w:uiPriority w:val="0"/>
    <w:pPr>
      <w:spacing w:before="120" w:after="120" w:line="288" w:lineRule="auto"/>
      <w:ind w:left="0"/>
      <w:jc w:val="left"/>
    </w:pPr>
    <w:rPr>
      <w:rFonts w:ascii="Arial" w:hAnsi="Arial" w:eastAsia="等线" w:cs="Arial"/>
      <w:sz w:val="22"/>
      <w:szCs w:val="22"/>
    </w:rPr>
  </w:style>
  <w:style w:type="paragraph" w:customStyle="1" w:styleId="28">
    <w:name w:val="Body text|1"/>
    <w:basedOn w:val="1"/>
    <w:qFormat/>
    <w:uiPriority w:val="0"/>
    <w:pPr>
      <w:spacing w:line="406" w:lineRule="auto"/>
      <w:ind w:firstLine="400"/>
    </w:pPr>
    <w:rPr>
      <w:rFonts w:ascii="宋体" w:hAnsi="宋体" w:eastAsia="宋体" w:cs="宋体"/>
      <w:sz w:val="28"/>
      <w:szCs w:val="28"/>
      <w:lang w:val="zh-TW" w:eastAsia="zh-TW" w:bidi="zh-TW"/>
    </w:rPr>
  </w:style>
  <w:style w:type="character" w:customStyle="1" w:styleId="29">
    <w:name w:val="font151"/>
    <w:basedOn w:val="19"/>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24899</Words>
  <Characters>25524</Characters>
  <Lines>0</Lines>
  <Paragraphs>0</Paragraphs>
  <TotalTime>66</TotalTime>
  <ScaleCrop>false</ScaleCrop>
  <LinksUpToDate>false</LinksUpToDate>
  <CharactersWithSpaces>25710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2025-10-10T22:14:00Z</dcterms:created>
  <dc:creator>卢雅莉</dc:creator>
  <cp:lastModifiedBy>纳木错</cp:lastModifiedBy>
  <dcterms:modified xsi:type="dcterms:W3CDTF">2026-04-13T00:35:46Z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28B2E65AE85E4127904C21B42FB0328B_13</vt:lpwstr>
  </property>
  <property fmtid="{D5CDD505-2E9C-101B-9397-08002B2CF9AE}" pid="4" name="KSOTemplateDocerSaveRecord">
    <vt:lpwstr>eyJoZGlkIjoiNWI1MTY2MTJkNmY5YjkzNDhhN2RkMzAyNTBhZGQzOWEiLCJ1c2VySWQiOiIxNjA4NzkyNDU5In0=</vt:lpwstr>
  </property>
</Properties>
</file>