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 w:ascii="黑体" w:hAnsi="黑体" w:eastAsia="黑体" w:cs="黑体"/>
          <w:sz w:val="28"/>
          <w:szCs w:val="36"/>
          <w:lang w:val="en-US" w:eastAsia="zh-CN"/>
        </w:rPr>
      </w:pPr>
      <w:r>
        <w:rPr>
          <w:rFonts w:hint="eastAsia" w:ascii="黑体" w:hAnsi="黑体" w:eastAsia="黑体" w:cs="黑体"/>
          <w:sz w:val="28"/>
          <w:szCs w:val="36"/>
          <w:lang w:eastAsia="zh-CN"/>
        </w:rPr>
        <w:t>附件</w:t>
      </w:r>
      <w:r>
        <w:rPr>
          <w:rFonts w:hint="eastAsia" w:ascii="黑体" w:hAnsi="黑体" w:eastAsia="黑体" w:cs="黑体"/>
          <w:sz w:val="28"/>
          <w:szCs w:val="36"/>
          <w:lang w:val="en-US" w:eastAsia="zh-CN"/>
        </w:rPr>
        <w:t>1</w:t>
      </w:r>
    </w:p>
    <w:p>
      <w:pPr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firstLine="2160" w:firstLineChars="600"/>
        <w:jc w:val="both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val="en-US" w:eastAsia="zh-CN"/>
        </w:rPr>
        <w:t>惠东县白马山和平远县五指石自然保护区</w:t>
      </w: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</w:rPr>
        <w:t>调整</w:t>
      </w: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eastAsia="zh-CN"/>
        </w:rPr>
        <w:t>情况</w:t>
      </w:r>
      <w:bookmarkEnd w:id="0"/>
    </w:p>
    <w:p>
      <w:pPr>
        <w:pStyle w:val="2"/>
        <w:rPr>
          <w:rFonts w:hint="eastAsia"/>
          <w:lang w:val="en-US" w:eastAsia="zh-CN"/>
        </w:rPr>
      </w:pPr>
    </w:p>
    <w:tbl>
      <w:tblPr>
        <w:tblStyle w:val="3"/>
        <w:tblpPr w:leftFromText="180" w:rightFromText="180" w:vertAnchor="text" w:horzAnchor="page" w:tblpX="1165" w:tblpY="9"/>
        <w:tblOverlap w:val="never"/>
        <w:tblW w:w="506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4"/>
        <w:gridCol w:w="808"/>
        <w:gridCol w:w="1781"/>
        <w:gridCol w:w="834"/>
        <w:gridCol w:w="1592"/>
        <w:gridCol w:w="1694"/>
        <w:gridCol w:w="1796"/>
        <w:gridCol w:w="3000"/>
        <w:gridCol w:w="10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6" w:hRule="atLeast"/>
          <w:tblHeader/>
        </w:trPr>
        <w:tc>
          <w:tcPr>
            <w:tcW w:w="381" w:type="pct"/>
            <w:vAlign w:val="center"/>
          </w:tcPr>
          <w:p>
            <w:pPr>
              <w:pStyle w:val="2"/>
              <w:adjustRightInd w:val="0"/>
              <w:snapToGrid w:val="0"/>
              <w:spacing w:after="0"/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保护区</w:t>
            </w:r>
          </w:p>
          <w:p>
            <w:pPr>
              <w:pStyle w:val="2"/>
              <w:adjustRightInd w:val="0"/>
              <w:snapToGrid w:val="0"/>
              <w:spacing w:after="0"/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名称</w:t>
            </w:r>
          </w:p>
        </w:tc>
        <w:tc>
          <w:tcPr>
            <w:tcW w:w="298" w:type="pct"/>
            <w:vAlign w:val="center"/>
          </w:tcPr>
          <w:p>
            <w:pPr>
              <w:pStyle w:val="2"/>
              <w:adjustRightInd w:val="0"/>
              <w:snapToGrid w:val="0"/>
              <w:spacing w:after="0"/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地理</w:t>
            </w:r>
          </w:p>
          <w:p>
            <w:pPr>
              <w:pStyle w:val="2"/>
              <w:adjustRightInd w:val="0"/>
              <w:snapToGrid w:val="0"/>
              <w:spacing w:after="0"/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位置</w:t>
            </w:r>
          </w:p>
        </w:tc>
        <w:tc>
          <w:tcPr>
            <w:tcW w:w="657" w:type="pct"/>
            <w:vAlign w:val="center"/>
          </w:tcPr>
          <w:p>
            <w:pPr>
              <w:pStyle w:val="2"/>
              <w:adjustRightInd w:val="0"/>
              <w:snapToGrid w:val="0"/>
              <w:spacing w:after="0"/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主要保护对象</w:t>
            </w:r>
          </w:p>
        </w:tc>
        <w:tc>
          <w:tcPr>
            <w:tcW w:w="307" w:type="pct"/>
            <w:vAlign w:val="center"/>
          </w:tcPr>
          <w:p>
            <w:pPr>
              <w:pStyle w:val="2"/>
              <w:adjustRightInd w:val="0"/>
              <w:snapToGrid w:val="0"/>
              <w:spacing w:after="0"/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调整</w:t>
            </w:r>
          </w:p>
          <w:p>
            <w:pPr>
              <w:pStyle w:val="2"/>
              <w:adjustRightInd w:val="0"/>
              <w:snapToGrid w:val="0"/>
              <w:spacing w:after="0"/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类型</w:t>
            </w:r>
          </w:p>
        </w:tc>
        <w:tc>
          <w:tcPr>
            <w:tcW w:w="587" w:type="pct"/>
            <w:vAlign w:val="center"/>
          </w:tcPr>
          <w:p>
            <w:pPr>
              <w:pStyle w:val="2"/>
              <w:adjustRightInd w:val="0"/>
              <w:snapToGrid w:val="0"/>
              <w:spacing w:after="0"/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调整原因</w:t>
            </w:r>
          </w:p>
        </w:tc>
        <w:tc>
          <w:tcPr>
            <w:tcW w:w="625" w:type="pct"/>
            <w:vAlign w:val="center"/>
          </w:tcPr>
          <w:p>
            <w:pPr>
              <w:pStyle w:val="2"/>
              <w:adjustRightInd w:val="0"/>
              <w:snapToGrid w:val="0"/>
              <w:spacing w:after="0"/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原三区面积</w:t>
            </w:r>
          </w:p>
        </w:tc>
        <w:tc>
          <w:tcPr>
            <w:tcW w:w="662" w:type="pct"/>
            <w:vAlign w:val="center"/>
          </w:tcPr>
          <w:p>
            <w:pPr>
              <w:pStyle w:val="2"/>
              <w:adjustRightInd w:val="0"/>
              <w:snapToGrid w:val="0"/>
              <w:spacing w:after="0"/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调整后</w:t>
            </w:r>
          </w:p>
          <w:p>
            <w:pPr>
              <w:pStyle w:val="2"/>
              <w:adjustRightInd w:val="0"/>
              <w:snapToGrid w:val="0"/>
              <w:spacing w:after="0"/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三区面积</w:t>
            </w:r>
          </w:p>
        </w:tc>
        <w:tc>
          <w:tcPr>
            <w:tcW w:w="1106" w:type="pct"/>
            <w:vAlign w:val="center"/>
          </w:tcPr>
          <w:p>
            <w:pPr>
              <w:pStyle w:val="2"/>
              <w:adjustRightInd w:val="0"/>
              <w:snapToGrid w:val="0"/>
              <w:spacing w:after="0"/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调整后</w:t>
            </w:r>
          </w:p>
          <w:p>
            <w:pPr>
              <w:pStyle w:val="2"/>
              <w:adjustRightInd w:val="0"/>
              <w:snapToGrid w:val="0"/>
              <w:spacing w:after="0"/>
              <w:jc w:val="center"/>
              <w:rPr>
                <w:rFonts w:hint="eastAsia" w:ascii="黑体" w:hAnsi="黑体" w:eastAsia="黑体" w:cs="黑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四至范围</w:t>
            </w:r>
          </w:p>
        </w:tc>
        <w:tc>
          <w:tcPr>
            <w:tcW w:w="373" w:type="pct"/>
            <w:vAlign w:val="center"/>
          </w:tcPr>
          <w:p>
            <w:pPr>
              <w:pStyle w:val="2"/>
              <w:adjustRightInd w:val="0"/>
              <w:snapToGrid w:val="0"/>
              <w:spacing w:after="0"/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申报</w:t>
            </w:r>
          </w:p>
          <w:p>
            <w:pPr>
              <w:pStyle w:val="2"/>
              <w:adjustRightInd w:val="0"/>
              <w:snapToGrid w:val="0"/>
              <w:spacing w:after="0"/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85" w:hRule="atLeast"/>
          <w:tblHeader/>
        </w:trPr>
        <w:tc>
          <w:tcPr>
            <w:tcW w:w="381" w:type="pct"/>
            <w:vAlign w:val="center"/>
          </w:tcPr>
          <w:p>
            <w:pPr>
              <w:pStyle w:val="2"/>
              <w:snapToGrid w:val="0"/>
              <w:spacing w:after="0" w:line="240" w:lineRule="auto"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惠东县白马山县级自然保护区</w:t>
            </w:r>
          </w:p>
        </w:tc>
        <w:tc>
          <w:tcPr>
            <w:tcW w:w="298" w:type="pct"/>
            <w:vAlign w:val="center"/>
          </w:tcPr>
          <w:p>
            <w:pPr>
              <w:pStyle w:val="2"/>
              <w:snapToGrid w:val="0"/>
              <w:spacing w:after="0" w:line="240" w:lineRule="auto"/>
              <w:jc w:val="left"/>
              <w:rPr>
                <w:rFonts w:hint="default" w:ascii="Times New Roman" w:hAnsi="Times New Roman" w:eastAsia="仿宋"/>
                <w:sz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/>
                <w:sz w:val="24"/>
                <w:vertAlign w:val="baseline"/>
                <w:lang w:val="en-US" w:eastAsia="zh-CN"/>
              </w:rPr>
              <w:t>广东省惠州市惠东县</w:t>
            </w:r>
          </w:p>
        </w:tc>
        <w:tc>
          <w:tcPr>
            <w:tcW w:w="657" w:type="pct"/>
            <w:vAlign w:val="center"/>
          </w:tcPr>
          <w:p>
            <w:pPr>
              <w:pStyle w:val="2"/>
              <w:snapToGrid w:val="0"/>
              <w:spacing w:after="0" w:line="240" w:lineRule="auto"/>
              <w:jc w:val="left"/>
              <w:rPr>
                <w:rFonts w:hint="default" w:ascii="Times New Roman" w:hAnsi="Times New Roman" w:eastAsia="仿宋"/>
                <w:sz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/>
                <w:sz w:val="24"/>
                <w:vertAlign w:val="baseline"/>
                <w:lang w:val="en-US" w:eastAsia="zh-CN"/>
              </w:rPr>
              <w:t>藏酋猴种群及其栖息地、南亚热带季风常绿阔叶林森林植被和森林生态系统、水源涵养林。</w:t>
            </w:r>
          </w:p>
        </w:tc>
        <w:tc>
          <w:tcPr>
            <w:tcW w:w="307" w:type="pct"/>
            <w:vAlign w:val="center"/>
          </w:tcPr>
          <w:p>
            <w:pPr>
              <w:pStyle w:val="2"/>
              <w:snapToGrid w:val="0"/>
              <w:spacing w:after="0" w:line="240" w:lineRule="auto"/>
              <w:jc w:val="left"/>
              <w:rPr>
                <w:rFonts w:hint="default" w:ascii="Times New Roman" w:hAnsi="Times New Roman" w:eastAsia="仿宋"/>
                <w:sz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/>
                <w:sz w:val="24"/>
                <w:vertAlign w:val="baseline"/>
                <w:lang w:val="en-US" w:eastAsia="zh-CN"/>
              </w:rPr>
              <w:t>范围和功能区调整</w:t>
            </w:r>
          </w:p>
        </w:tc>
        <w:tc>
          <w:tcPr>
            <w:tcW w:w="587" w:type="pct"/>
            <w:vAlign w:val="center"/>
          </w:tcPr>
          <w:p>
            <w:pPr>
              <w:pStyle w:val="2"/>
              <w:snapToGrid w:val="0"/>
              <w:spacing w:after="0" w:line="240" w:lineRule="auto"/>
              <w:jc w:val="left"/>
              <w:rPr>
                <w:rFonts w:hint="eastAsia" w:eastAsia="宋体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/>
                <w:sz w:val="24"/>
                <w:highlight w:val="none"/>
                <w:lang w:eastAsia="zh-CN"/>
              </w:rPr>
              <w:t>因</w:t>
            </w:r>
            <w:r>
              <w:rPr>
                <w:rFonts w:hint="eastAsia" w:ascii="Times New Roman" w:hAnsi="Times New Roman" w:eastAsia="仿宋"/>
                <w:sz w:val="24"/>
                <w:highlight w:val="none"/>
                <w:lang w:val="en-US" w:eastAsia="zh-CN"/>
              </w:rPr>
              <w:t>省重点项目深汕合作区引水工程建设</w:t>
            </w:r>
            <w:r>
              <w:rPr>
                <w:rFonts w:hint="default" w:ascii="Times New Roman" w:hAnsi="Times New Roman" w:eastAsia="仿宋"/>
                <w:sz w:val="24"/>
                <w:highlight w:val="none"/>
                <w:lang w:eastAsia="zh-CN"/>
              </w:rPr>
              <w:t>需要</w:t>
            </w:r>
            <w:r>
              <w:rPr>
                <w:rFonts w:hint="eastAsia" w:ascii="Times New Roman" w:hAnsi="Times New Roman" w:eastAsia="仿宋"/>
                <w:sz w:val="24"/>
                <w:highlight w:val="none"/>
                <w:lang w:eastAsia="zh-CN"/>
              </w:rPr>
              <w:t>，</w:t>
            </w:r>
            <w:r>
              <w:rPr>
                <w:rFonts w:hint="default" w:ascii="Times New Roman" w:hAnsi="Times New Roman" w:eastAsia="仿宋"/>
                <w:sz w:val="24"/>
                <w:highlight w:val="none"/>
                <w:lang w:eastAsia="zh-CN"/>
              </w:rPr>
              <w:t>调整保护区范围和功能区</w:t>
            </w:r>
          </w:p>
        </w:tc>
        <w:tc>
          <w:tcPr>
            <w:tcW w:w="625" w:type="pct"/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jc w:val="left"/>
            </w:pPr>
            <w:r>
              <w:rPr>
                <w:rFonts w:hint="default" w:ascii="Times New Roman" w:hAnsi="Times New Roman" w:eastAsia="仿宋"/>
                <w:sz w:val="24"/>
                <w:highlight w:val="none"/>
                <w:vertAlign w:val="baseline"/>
                <w:lang w:val="en-US" w:eastAsia="zh-CN"/>
              </w:rPr>
              <w:t>总面积9329.87</w:t>
            </w:r>
          </w:p>
          <w:p>
            <w:pPr>
              <w:widowControl/>
              <w:snapToGrid w:val="0"/>
              <w:spacing w:line="240" w:lineRule="auto"/>
              <w:jc w:val="left"/>
              <w:rPr>
                <w:rFonts w:hint="default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/>
                <w:sz w:val="24"/>
                <w:highlight w:val="none"/>
                <w:vertAlign w:val="baseline"/>
                <w:lang w:val="en-US" w:eastAsia="zh-CN"/>
              </w:rPr>
              <w:t>公顷；核心区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3651.88</w:t>
            </w:r>
            <w:r>
              <w:rPr>
                <w:rFonts w:hint="default" w:ascii="Times New Roman" w:hAnsi="Times New Roman" w:eastAsia="仿宋"/>
                <w:sz w:val="24"/>
                <w:highlight w:val="none"/>
                <w:vertAlign w:val="baseline"/>
                <w:lang w:val="en-US" w:eastAsia="zh-CN"/>
              </w:rPr>
              <w:t>公顷，</w:t>
            </w:r>
            <w:r>
              <w:rPr>
                <w:rFonts w:hint="eastAsia" w:ascii="Times New Roman" w:hAnsi="Times New Roman" w:eastAsia="仿宋"/>
                <w:sz w:val="24"/>
                <w:highlight w:val="none"/>
                <w:vertAlign w:val="baseline"/>
                <w:lang w:val="en-US" w:eastAsia="zh-CN"/>
              </w:rPr>
              <w:t>缓冲区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1651.60</w:t>
            </w:r>
            <w:r>
              <w:rPr>
                <w:rFonts w:hint="default" w:ascii="Times New Roman" w:hAnsi="Times New Roman" w:eastAsia="仿宋"/>
                <w:sz w:val="24"/>
                <w:highlight w:val="none"/>
                <w:vertAlign w:val="baseline"/>
                <w:lang w:val="en-US" w:eastAsia="zh-CN"/>
              </w:rPr>
              <w:t>公顷，实验区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4026.39</w:t>
            </w:r>
            <w:r>
              <w:rPr>
                <w:rFonts w:hint="eastAsia" w:ascii="Times New Roman" w:hAnsi="Times New Roman" w:eastAsia="仿宋"/>
                <w:sz w:val="24"/>
                <w:highlight w:val="none"/>
                <w:vertAlign w:val="baseline"/>
                <w:lang w:val="en-US" w:eastAsia="zh-CN"/>
              </w:rPr>
              <w:t>公顷</w:t>
            </w:r>
            <w:r>
              <w:rPr>
                <w:rFonts w:hint="default" w:ascii="Times New Roman" w:hAnsi="Times New Roman" w:eastAsia="仿宋"/>
                <w:sz w:val="24"/>
                <w:highlight w:val="none"/>
                <w:vertAlign w:val="baseline"/>
                <w:lang w:val="en-US" w:eastAsia="zh-CN"/>
              </w:rPr>
              <w:t>。</w:t>
            </w:r>
          </w:p>
        </w:tc>
        <w:tc>
          <w:tcPr>
            <w:tcW w:w="662" w:type="pct"/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/>
                <w:sz w:val="24"/>
                <w:highlight w:val="none"/>
                <w:vertAlign w:val="baseline"/>
                <w:lang w:val="en-US" w:eastAsia="zh-CN"/>
              </w:rPr>
              <w:t>总面积9329.87公顷；核心区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3651.88</w:t>
            </w:r>
            <w:r>
              <w:rPr>
                <w:rFonts w:hint="default" w:ascii="Times New Roman" w:hAnsi="Times New Roman" w:eastAsia="仿宋"/>
                <w:sz w:val="24"/>
                <w:highlight w:val="none"/>
                <w:vertAlign w:val="baseline"/>
                <w:lang w:val="en-US" w:eastAsia="zh-CN"/>
              </w:rPr>
              <w:t>公顷，</w:t>
            </w:r>
            <w:r>
              <w:rPr>
                <w:rFonts w:hint="eastAsia" w:ascii="Times New Roman" w:hAnsi="Times New Roman" w:eastAsia="仿宋"/>
                <w:sz w:val="24"/>
                <w:highlight w:val="none"/>
                <w:vertAlign w:val="baseline"/>
                <w:lang w:val="en-US" w:eastAsia="zh-CN"/>
              </w:rPr>
              <w:t>缓冲区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1651.60</w:t>
            </w:r>
            <w:r>
              <w:rPr>
                <w:rFonts w:hint="default" w:ascii="Times New Roman" w:hAnsi="Times New Roman" w:eastAsia="仿宋"/>
                <w:sz w:val="24"/>
                <w:highlight w:val="none"/>
                <w:vertAlign w:val="baseline"/>
                <w:lang w:val="en-US" w:eastAsia="zh-CN"/>
              </w:rPr>
              <w:t>公顷，实验区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4026.39</w:t>
            </w:r>
            <w:r>
              <w:rPr>
                <w:rFonts w:hint="eastAsia" w:ascii="Times New Roman" w:hAnsi="Times New Roman" w:eastAsia="仿宋"/>
                <w:sz w:val="24"/>
                <w:highlight w:val="none"/>
                <w:vertAlign w:val="baseline"/>
                <w:lang w:val="en-US" w:eastAsia="zh-CN"/>
              </w:rPr>
              <w:t>公顷。</w:t>
            </w:r>
          </w:p>
        </w:tc>
        <w:tc>
          <w:tcPr>
            <w:tcW w:w="1106" w:type="pct"/>
            <w:vAlign w:val="center"/>
          </w:tcPr>
          <w:p>
            <w:pPr>
              <w:pStyle w:val="2"/>
              <w:snapToGrid w:val="0"/>
              <w:spacing w:after="0" w:line="240" w:lineRule="auto"/>
              <w:jc w:val="left"/>
              <w:rPr>
                <w:rFonts w:hint="eastAsia" w:ascii="Times New Roman" w:hAnsi="Times New Roman" w:eastAsia="仿宋" w:cs="Times New Roman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白马山片区：东经 115°03′16.54″~115°11′41.80″；北纬 22°59′37.30″~23°05′36.36″</w:t>
            </w:r>
          </w:p>
          <w:p>
            <w:pPr>
              <w:pStyle w:val="2"/>
              <w:snapToGrid w:val="0"/>
              <w:spacing w:after="0" w:line="240" w:lineRule="auto"/>
              <w:jc w:val="left"/>
              <w:rPr>
                <w:rFonts w:hint="eastAsia" w:ascii="Times New Roman" w:hAnsi="Times New Roman" w:eastAsia="仿宋" w:cs="Times New Roman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白石岗片区：东经 115°10′8.29″~115°10′20.41″；北纬 23°08′45.89″~23°08′54.84″</w:t>
            </w:r>
          </w:p>
        </w:tc>
        <w:tc>
          <w:tcPr>
            <w:tcW w:w="373" w:type="pct"/>
            <w:vAlign w:val="center"/>
          </w:tcPr>
          <w:p>
            <w:pPr>
              <w:pStyle w:val="2"/>
              <w:snapToGrid w:val="0"/>
              <w:spacing w:after="0" w:line="240" w:lineRule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sz w:val="24"/>
                <w:vertAlign w:val="baseline"/>
                <w:lang w:val="en-US" w:eastAsia="zh-CN"/>
              </w:rPr>
              <w:t>惠州市人民政府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tblHeader/>
        </w:trPr>
        <w:tc>
          <w:tcPr>
            <w:tcW w:w="381" w:type="pct"/>
            <w:vAlign w:val="center"/>
          </w:tcPr>
          <w:p>
            <w:pPr>
              <w:pStyle w:val="2"/>
              <w:jc w:val="left"/>
              <w:rPr>
                <w:rFonts w:hint="default" w:ascii="Times New Roman" w:hAnsi="Times New Roman" w:eastAsia="仿宋"/>
                <w:sz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/>
                <w:sz w:val="24"/>
                <w:vertAlign w:val="baseline"/>
                <w:lang w:val="en-US" w:eastAsia="zh-CN"/>
              </w:rPr>
              <w:t>平远</w:t>
            </w:r>
            <w:r>
              <w:rPr>
                <w:rFonts w:hint="eastAsia" w:ascii="Times New Roman" w:hAnsi="Times New Roman" w:eastAsia="仿宋"/>
                <w:sz w:val="24"/>
                <w:vertAlign w:val="baseline"/>
                <w:lang w:val="en-US" w:eastAsia="zh-CN"/>
              </w:rPr>
              <w:t>县</w:t>
            </w:r>
            <w:r>
              <w:rPr>
                <w:rFonts w:hint="default" w:ascii="Times New Roman" w:hAnsi="Times New Roman" w:eastAsia="仿宋"/>
                <w:sz w:val="24"/>
                <w:vertAlign w:val="baseline"/>
                <w:lang w:val="en-US" w:eastAsia="zh-CN"/>
              </w:rPr>
              <w:t>五指石市级自然保护区</w:t>
            </w:r>
          </w:p>
        </w:tc>
        <w:tc>
          <w:tcPr>
            <w:tcW w:w="298" w:type="pct"/>
            <w:vAlign w:val="center"/>
          </w:tcPr>
          <w:p>
            <w:pPr>
              <w:pStyle w:val="2"/>
              <w:jc w:val="left"/>
              <w:rPr>
                <w:rFonts w:hint="default" w:ascii="Times New Roman" w:hAnsi="Times New Roman" w:eastAsia="仿宋"/>
                <w:sz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/>
                <w:sz w:val="24"/>
                <w:vertAlign w:val="baseline"/>
                <w:lang w:val="en-US" w:eastAsia="zh-CN"/>
              </w:rPr>
              <w:t>广东省梅州市平远县</w:t>
            </w:r>
          </w:p>
        </w:tc>
        <w:tc>
          <w:tcPr>
            <w:tcW w:w="657" w:type="pct"/>
            <w:vAlign w:val="center"/>
          </w:tcPr>
          <w:p>
            <w:pPr>
              <w:pStyle w:val="2"/>
              <w:jc w:val="left"/>
              <w:rPr>
                <w:rFonts w:hint="default" w:ascii="Times New Roman" w:hAnsi="Times New Roman" w:eastAsia="仿宋"/>
                <w:sz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/>
                <w:sz w:val="24"/>
                <w:vertAlign w:val="baseline"/>
                <w:lang w:val="en-US" w:eastAsia="zh-CN"/>
              </w:rPr>
              <w:t>亚热带常绿阔叶林森林生态系统，国家和广东省重点保护及珍稀濒危野生动植物资源，水源涵养林</w:t>
            </w:r>
          </w:p>
        </w:tc>
        <w:tc>
          <w:tcPr>
            <w:tcW w:w="307" w:type="pct"/>
            <w:vAlign w:val="center"/>
          </w:tcPr>
          <w:p>
            <w:pPr>
              <w:pStyle w:val="2"/>
              <w:jc w:val="left"/>
              <w:rPr>
                <w:rFonts w:hint="default" w:ascii="Times New Roman" w:hAnsi="Times New Roman" w:eastAsia="仿宋"/>
                <w:sz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/>
                <w:sz w:val="24"/>
                <w:vertAlign w:val="baseline"/>
                <w:lang w:val="en-US" w:eastAsia="zh-CN"/>
              </w:rPr>
              <w:t>范围和功能区调整</w:t>
            </w:r>
          </w:p>
        </w:tc>
        <w:tc>
          <w:tcPr>
            <w:tcW w:w="587" w:type="pct"/>
            <w:vAlign w:val="center"/>
          </w:tcPr>
          <w:p>
            <w:pPr>
              <w:pStyle w:val="2"/>
              <w:jc w:val="left"/>
              <w:rPr>
                <w:rFonts w:hint="default" w:ascii="Times New Roman" w:hAnsi="Times New Roman" w:eastAsia="仿宋"/>
                <w:sz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/>
                <w:sz w:val="24"/>
                <w:lang w:eastAsia="zh-CN"/>
              </w:rPr>
              <w:t>因</w:t>
            </w:r>
            <w:r>
              <w:rPr>
                <w:rFonts w:hint="eastAsia" w:ascii="Times New Roman" w:hAnsi="Times New Roman" w:eastAsia="仿宋"/>
                <w:sz w:val="24"/>
                <w:lang w:val="en-US" w:eastAsia="zh-CN"/>
              </w:rPr>
              <w:t>省重点项目梅州平远至福建武平高速公路工程建设</w:t>
            </w:r>
            <w:r>
              <w:rPr>
                <w:rFonts w:hint="default" w:ascii="Times New Roman" w:hAnsi="Times New Roman" w:eastAsia="仿宋"/>
                <w:sz w:val="24"/>
                <w:lang w:eastAsia="zh-CN"/>
              </w:rPr>
              <w:t>需要</w:t>
            </w:r>
            <w:r>
              <w:rPr>
                <w:rFonts w:hint="eastAsia" w:ascii="Times New Roman" w:hAnsi="Times New Roman" w:eastAsia="仿宋"/>
                <w:sz w:val="24"/>
                <w:lang w:eastAsia="zh-CN"/>
              </w:rPr>
              <w:t>，</w:t>
            </w:r>
            <w:r>
              <w:rPr>
                <w:rFonts w:hint="default" w:ascii="Times New Roman" w:hAnsi="Times New Roman" w:eastAsia="仿宋"/>
                <w:sz w:val="24"/>
                <w:lang w:eastAsia="zh-CN"/>
              </w:rPr>
              <w:t>调整保护区范围和功能区</w:t>
            </w:r>
          </w:p>
        </w:tc>
        <w:tc>
          <w:tcPr>
            <w:tcW w:w="625" w:type="pct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/>
                <w:sz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/>
                <w:sz w:val="24"/>
                <w:vertAlign w:val="baseline"/>
                <w:lang w:val="en-US" w:eastAsia="zh-CN"/>
              </w:rPr>
              <w:t>总面积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2162.72</w:t>
            </w:r>
            <w:r>
              <w:rPr>
                <w:rFonts w:hint="default" w:ascii="Times New Roman" w:hAnsi="Times New Roman" w:eastAsia="仿宋"/>
                <w:sz w:val="24"/>
                <w:vertAlign w:val="baseline"/>
                <w:lang w:val="en-US" w:eastAsia="zh-CN"/>
              </w:rPr>
              <w:t>公顷；核心区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857.33</w:t>
            </w:r>
            <w:r>
              <w:rPr>
                <w:rFonts w:hint="default" w:ascii="Times New Roman" w:hAnsi="Times New Roman" w:eastAsia="仿宋"/>
                <w:sz w:val="24"/>
                <w:vertAlign w:val="baseline"/>
                <w:lang w:val="en-US" w:eastAsia="zh-CN"/>
              </w:rPr>
              <w:t>公顷，缓冲区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630.67</w:t>
            </w:r>
            <w:r>
              <w:rPr>
                <w:rFonts w:hint="default" w:ascii="Times New Roman" w:hAnsi="Times New Roman" w:eastAsia="仿宋"/>
                <w:sz w:val="24"/>
                <w:vertAlign w:val="baseline"/>
                <w:lang w:val="en-US" w:eastAsia="zh-CN"/>
              </w:rPr>
              <w:t>公顷，实验区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674.72</w:t>
            </w:r>
            <w:r>
              <w:rPr>
                <w:rFonts w:hint="default" w:ascii="Times New Roman" w:hAnsi="Times New Roman" w:eastAsia="仿宋"/>
                <w:sz w:val="24"/>
                <w:vertAlign w:val="baseline"/>
                <w:lang w:val="en-US" w:eastAsia="zh-CN"/>
              </w:rPr>
              <w:t>公顷。</w:t>
            </w:r>
          </w:p>
        </w:tc>
        <w:tc>
          <w:tcPr>
            <w:tcW w:w="662" w:type="pct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/>
                <w:sz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/>
                <w:sz w:val="24"/>
                <w:vertAlign w:val="baseline"/>
                <w:lang w:val="en-US" w:eastAsia="zh-CN"/>
              </w:rPr>
              <w:t>总面积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2163.40</w:t>
            </w:r>
            <w:r>
              <w:rPr>
                <w:rFonts w:hint="default" w:ascii="Times New Roman" w:hAnsi="Times New Roman" w:eastAsia="仿宋"/>
                <w:sz w:val="24"/>
                <w:vertAlign w:val="baseline"/>
                <w:lang w:val="en-US" w:eastAsia="zh-CN"/>
              </w:rPr>
              <w:t>公顷；核心区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857.33</w:t>
            </w:r>
            <w:r>
              <w:rPr>
                <w:rFonts w:hint="default" w:ascii="Times New Roman" w:hAnsi="Times New Roman" w:eastAsia="仿宋"/>
                <w:sz w:val="24"/>
                <w:vertAlign w:val="baseline"/>
                <w:lang w:val="en-US" w:eastAsia="zh-CN"/>
              </w:rPr>
              <w:t>公顷，缓冲区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631.35</w:t>
            </w:r>
            <w:r>
              <w:rPr>
                <w:rFonts w:hint="default" w:ascii="Times New Roman" w:hAnsi="Times New Roman" w:eastAsia="仿宋"/>
                <w:sz w:val="24"/>
                <w:vertAlign w:val="baseline"/>
                <w:lang w:val="en-US" w:eastAsia="zh-CN"/>
              </w:rPr>
              <w:t>公顷，实验区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674.72</w:t>
            </w:r>
            <w:r>
              <w:rPr>
                <w:rFonts w:hint="default" w:ascii="Times New Roman" w:hAnsi="Times New Roman" w:eastAsia="仿宋"/>
                <w:sz w:val="24"/>
                <w:vertAlign w:val="baseline"/>
                <w:lang w:val="en-US" w:eastAsia="zh-CN"/>
              </w:rPr>
              <w:t>公顷。</w:t>
            </w:r>
          </w:p>
        </w:tc>
        <w:tc>
          <w:tcPr>
            <w:tcW w:w="1106" w:type="pct"/>
            <w:vAlign w:val="center"/>
          </w:tcPr>
          <w:p>
            <w:pPr>
              <w:pStyle w:val="2"/>
              <w:snapToGrid w:val="0"/>
              <w:spacing w:after="0"/>
              <w:jc w:val="left"/>
              <w:rPr>
                <w:rFonts w:hint="eastAsia" w:ascii="Times New Roman" w:hAnsi="Times New Roman" w:eastAsia="仿宋" w:cs="Times New Roman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东部片区：东经 115°58′28.49″</w:t>
            </w:r>
            <w:r>
              <w:rPr>
                <w:rFonts w:hint="eastAsia" w:ascii="Times New Roman" w:hAnsi="Times New Roman" w:eastAsia="仿宋" w:cs="Times New Roman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~</w:t>
            </w:r>
            <w:r>
              <w:rPr>
                <w:rFonts w:hint="eastAsia" w:ascii="Times New Roman" w:hAnsi="Times New Roman" w:eastAsia="仿宋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116°0′5.22″；北纬 24°52′36.35″</w:t>
            </w:r>
            <w:r>
              <w:rPr>
                <w:rFonts w:hint="eastAsia" w:ascii="Times New Roman" w:hAnsi="Times New Roman" w:eastAsia="仿宋" w:cs="Times New Roman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~</w:t>
            </w:r>
            <w:r>
              <w:rPr>
                <w:rFonts w:hint="eastAsia" w:ascii="Times New Roman" w:hAnsi="Times New Roman" w:eastAsia="仿宋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 xml:space="preserve">24°53′31.96″ </w:t>
            </w:r>
          </w:p>
          <w:p>
            <w:pPr>
              <w:pStyle w:val="2"/>
              <w:snapToGrid w:val="0"/>
              <w:spacing w:after="0"/>
              <w:jc w:val="left"/>
              <w:rPr>
                <w:rFonts w:hint="eastAsia" w:ascii="Times New Roman" w:hAnsi="Times New Roman" w:eastAsia="仿宋" w:cs="Times New Roman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西部片区：东经 115°55′16.36″</w:t>
            </w:r>
            <w:r>
              <w:rPr>
                <w:rFonts w:hint="eastAsia" w:ascii="Times New Roman" w:hAnsi="Times New Roman" w:eastAsia="仿宋" w:cs="Times New Roman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~</w:t>
            </w:r>
            <w:r>
              <w:rPr>
                <w:rFonts w:hint="eastAsia" w:ascii="Times New Roman" w:hAnsi="Times New Roman" w:eastAsia="仿宋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115°58′47.77″；北纬 24°52′56.35″</w:t>
            </w:r>
            <w:r>
              <w:rPr>
                <w:rFonts w:hint="eastAsia" w:ascii="Times New Roman" w:hAnsi="Times New Roman" w:eastAsia="仿宋" w:cs="Times New Roman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~</w:t>
            </w:r>
            <w:r>
              <w:rPr>
                <w:rFonts w:hint="eastAsia" w:ascii="Times New Roman" w:hAnsi="Times New Roman" w:eastAsia="仿宋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24°55′39.73″</w:t>
            </w:r>
          </w:p>
        </w:tc>
        <w:tc>
          <w:tcPr>
            <w:tcW w:w="373" w:type="pct"/>
            <w:vAlign w:val="center"/>
          </w:tcPr>
          <w:p>
            <w:pPr>
              <w:pStyle w:val="2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sz w:val="24"/>
                <w:vertAlign w:val="baseline"/>
                <w:lang w:val="en-US" w:eastAsia="zh-CN"/>
              </w:rPr>
              <w:t>梅</w:t>
            </w:r>
            <w:r>
              <w:rPr>
                <w:rFonts w:hint="default" w:ascii="Times New Roman" w:hAnsi="Times New Roman" w:eastAsia="仿宋"/>
                <w:sz w:val="24"/>
                <w:vertAlign w:val="baseline"/>
                <w:lang w:val="en-US" w:eastAsia="zh-CN"/>
              </w:rPr>
              <w:t>州市人民政府</w:t>
            </w:r>
          </w:p>
        </w:tc>
      </w:tr>
    </w:tbl>
    <w:p/>
    <w:sectPr>
      <w:pgSz w:w="16839" w:h="11907" w:orient="landscape"/>
      <w:pgMar w:top="1531" w:right="2098" w:bottom="130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993B4D"/>
    <w:rsid w:val="6F993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99"/>
    <w:pPr>
      <w:spacing w:after="120"/>
    </w:pPr>
    <w:rPr>
      <w:rFonts w:ascii="Calibri" w:hAnsi="Calibri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省林业厅</Company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2025-11-13T09:36:00Z</dcterms:created>
  <dc:creator>唐洁</dc:creator>
  <cp:lastModifiedBy>唐洁</cp:lastModifiedBy>
  <dcterms:modified xsi:type="dcterms:W3CDTF">2025-11-13T09:38:41Z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ECB70AC7F8C94076B5156B48193EF71A</vt:lpwstr>
  </property>
</Properties>
</file>