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b/>
          <w:kern w:val="44"/>
          <w:sz w:val="44"/>
          <w:szCs w:val="44"/>
        </w:rPr>
      </w:pPr>
      <w:bookmarkStart w:id="0" w:name="_GoBack"/>
      <w:bookmarkEnd w:id="0"/>
      <w:r>
        <w:rPr>
          <w:rFonts w:ascii="Times New Roman" w:hAnsi="Times New Roman"/>
          <w:b/>
          <w:kern w:val="44"/>
          <w:sz w:val="44"/>
          <w:szCs w:val="44"/>
        </w:rPr>
        <w:t>内蒙古自治区企业研究开发中心</w:t>
      </w:r>
    </w:p>
    <w:p>
      <w:pPr>
        <w:spacing w:line="600" w:lineRule="exact"/>
        <w:jc w:val="center"/>
        <w:rPr>
          <w:rFonts w:ascii="Times New Roman" w:hAnsi="Times New Roman"/>
          <w:b/>
          <w:kern w:val="44"/>
          <w:sz w:val="44"/>
          <w:szCs w:val="44"/>
        </w:rPr>
      </w:pPr>
      <w:r>
        <w:rPr>
          <w:rFonts w:ascii="Times New Roman" w:hAnsi="Times New Roman"/>
          <w:b/>
          <w:kern w:val="44"/>
          <w:sz w:val="44"/>
          <w:szCs w:val="44"/>
        </w:rPr>
        <w:t>认定管理办法</w:t>
      </w:r>
    </w:p>
    <w:p>
      <w:pPr>
        <w:spacing w:line="600" w:lineRule="exact"/>
        <w:jc w:val="center"/>
        <w:rPr>
          <w:rFonts w:ascii="Times New Roman" w:hAnsi="Times New Roman" w:eastAsia="仿宋_GB2312"/>
          <w:sz w:val="32"/>
          <w:szCs w:val="32"/>
        </w:rPr>
      </w:pPr>
    </w:p>
    <w:p>
      <w:pPr>
        <w:pStyle w:val="10"/>
        <w:numPr>
          <w:ilvl w:val="0"/>
          <w:numId w:val="1"/>
        </w:numPr>
        <w:spacing w:before="100" w:beforeAutospacing="1"/>
        <w:ind w:firstLineChars="0"/>
        <w:jc w:val="center"/>
        <w:rPr>
          <w:rFonts w:eastAsia="仿宋_GB2312"/>
          <w:b/>
          <w:sz w:val="32"/>
          <w:szCs w:val="32"/>
        </w:rPr>
      </w:pPr>
      <w:r>
        <w:rPr>
          <w:rFonts w:eastAsia="仿宋_GB2312"/>
          <w:b/>
          <w:sz w:val="32"/>
          <w:szCs w:val="32"/>
        </w:rPr>
        <w:t>总  则</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 xml:space="preserve"> 为进一步强化企业科技创新主体地位，引导企业增强科技创新能力，健全科技创新市场导向机制，加速我区创新体系建设，规范自治区企业研究开发中心（以下简称“企业研发中心”）管理，充分发挥其在技术研发、成果转化和高新技术产业发展中的作用，结合自治区实际情况，特制定本办法。</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本办法所称企业研发中心，是指企业根据市场竞争需要设立的、企业内部相对独立的科技研发与创新机构，是企业技术创新体系的核心、企业技术进步和技术创新的主要依托，是我区科技创新体系的重要组成部分。企业研发中心负责制定企业科技创新规划、开展产业关键技术研发、创造运用知识产权、建立技术标准体系、凝聚培养创新人才、构建协同创新网络、推进企业科技成果转化、增强企业核心竞争力。</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鼓励企业建立研发中心。根据创新驱动发展要求和经济结构调整需要，对创新能力强、创新机制好、引领示范作用大、符合条件的企业研发中心予以认定。同时，鼓励企业和高校、科研机构联合组建研发中心。</w:t>
      </w:r>
    </w:p>
    <w:p>
      <w:pPr>
        <w:pStyle w:val="10"/>
        <w:numPr>
          <w:ilvl w:val="0"/>
          <w:numId w:val="2"/>
        </w:numPr>
        <w:tabs>
          <w:tab w:val="left" w:pos="1701"/>
        </w:tabs>
        <w:spacing w:line="600" w:lineRule="exact"/>
        <w:ind w:left="0" w:firstLine="579" w:firstLineChars="186"/>
        <w:rPr>
          <w:rFonts w:eastAsia="仿宋_GB2312"/>
          <w:sz w:val="32"/>
          <w:szCs w:val="32"/>
        </w:rPr>
      </w:pPr>
      <w:r>
        <w:rPr>
          <w:rFonts w:eastAsia="仿宋_GB2312"/>
          <w:sz w:val="32"/>
          <w:szCs w:val="32"/>
        </w:rPr>
        <w:t>自治区科技厅组织开展企业研发中心的认定、检查、考核等。</w:t>
      </w:r>
      <w:r>
        <w:rPr>
          <w:rFonts w:eastAsia="仿宋_GB2312"/>
          <w:color w:val="333333"/>
          <w:sz w:val="32"/>
          <w:szCs w:val="32"/>
        </w:rPr>
        <w:t>内蒙古</w:t>
      </w:r>
      <w:r>
        <w:rPr>
          <w:rFonts w:hint="eastAsia" w:eastAsia="仿宋_GB2312"/>
          <w:color w:val="333333"/>
          <w:sz w:val="32"/>
          <w:szCs w:val="32"/>
        </w:rPr>
        <w:t>自治区</w:t>
      </w:r>
      <w:r>
        <w:rPr>
          <w:rFonts w:eastAsia="仿宋_GB2312"/>
          <w:color w:val="333333"/>
          <w:sz w:val="32"/>
          <w:szCs w:val="32"/>
        </w:rPr>
        <w:t>火炬高技术产业开发中心受自治区科技厅委托，承担企业研发中心的日常事务性管理服务工作。</w:t>
      </w:r>
    </w:p>
    <w:p>
      <w:pPr>
        <w:tabs>
          <w:tab w:val="left" w:pos="1701"/>
        </w:tabs>
        <w:spacing w:line="600" w:lineRule="exact"/>
        <w:ind w:firstLine="579" w:firstLineChars="186"/>
        <w:rPr>
          <w:rFonts w:ascii="Times New Roman" w:hAnsi="Times New Roman" w:eastAsia="仿宋_GB2312"/>
          <w:sz w:val="32"/>
          <w:szCs w:val="32"/>
        </w:rPr>
      </w:pPr>
      <w:r>
        <w:rPr>
          <w:rFonts w:ascii="Times New Roman" w:hAnsi="Times New Roman" w:eastAsia="仿宋_GB2312"/>
          <w:sz w:val="32"/>
          <w:szCs w:val="32"/>
        </w:rPr>
        <w:t>盟（市）科技局、国家高新区管委会等单位为企业研发中心组织单位，负责企业研发中心的组织申报及对已认定企业研发中心的指导、宣传、培训、统计、监督等工作。</w:t>
      </w:r>
    </w:p>
    <w:p>
      <w:pPr>
        <w:tabs>
          <w:tab w:val="left" w:pos="1701"/>
        </w:tabs>
        <w:spacing w:line="600" w:lineRule="exact"/>
        <w:ind w:firstLine="579" w:firstLineChars="186"/>
        <w:rPr>
          <w:rFonts w:ascii="Times New Roman" w:hAnsi="Times New Roman" w:eastAsia="仿宋_GB2312"/>
          <w:sz w:val="32"/>
          <w:szCs w:val="32"/>
        </w:rPr>
      </w:pPr>
      <w:r>
        <w:rPr>
          <w:rFonts w:ascii="Times New Roman" w:hAnsi="Times New Roman" w:eastAsia="仿宋_GB2312"/>
          <w:sz w:val="32"/>
          <w:szCs w:val="32"/>
        </w:rPr>
        <w:t>企业研发中心依托单位，即组建研发中心的企业，负责企业研发中心的领导，组织实施企业研发中心建设计划规定的各项工作；负责提供企业研发中心建设和运行所必要的资金、物资、人才等；负责监督企业研发中心的资产及经费使用。</w:t>
      </w:r>
    </w:p>
    <w:p>
      <w:pPr>
        <w:pStyle w:val="10"/>
        <w:numPr>
          <w:ilvl w:val="0"/>
          <w:numId w:val="1"/>
        </w:numPr>
        <w:spacing w:before="100" w:beforeAutospacing="1"/>
        <w:ind w:firstLineChars="0"/>
        <w:jc w:val="center"/>
        <w:rPr>
          <w:rFonts w:eastAsia="仿宋_GB2312"/>
          <w:b/>
          <w:sz w:val="32"/>
          <w:szCs w:val="32"/>
        </w:rPr>
      </w:pPr>
      <w:r>
        <w:rPr>
          <w:rFonts w:eastAsia="仿宋_GB2312"/>
          <w:b/>
          <w:sz w:val="32"/>
          <w:szCs w:val="32"/>
        </w:rPr>
        <w:t>申报条件</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申请认定企业研发中心的依托单位应具备下列条件：</w:t>
      </w:r>
    </w:p>
    <w:p>
      <w:pPr>
        <w:pStyle w:val="10"/>
        <w:numPr>
          <w:ilvl w:val="0"/>
          <w:numId w:val="3"/>
        </w:numPr>
        <w:tabs>
          <w:tab w:val="left" w:pos="1701"/>
        </w:tabs>
        <w:spacing w:line="600" w:lineRule="exact"/>
        <w:ind w:left="0" w:firstLine="595" w:firstLineChars="0"/>
        <w:rPr>
          <w:rFonts w:eastAsia="仿宋_GB2312"/>
          <w:sz w:val="32"/>
          <w:szCs w:val="32"/>
        </w:rPr>
      </w:pPr>
      <w:r>
        <w:rPr>
          <w:rFonts w:eastAsia="仿宋_GB2312"/>
          <w:sz w:val="32"/>
          <w:szCs w:val="32"/>
        </w:rPr>
        <w:t>在自治区境内注册，具有独立法人资格、具有一定规模和研究开发实力，在行业中具有显著的发展优势和竞争优势，具有行业领先的技术创新能力和水平；具备承担自治区</w:t>
      </w:r>
      <w:r>
        <w:rPr>
          <w:rFonts w:hint="eastAsia" w:eastAsia="仿宋_GB2312"/>
          <w:sz w:val="32"/>
          <w:szCs w:val="32"/>
        </w:rPr>
        <w:t>级</w:t>
      </w:r>
      <w:r>
        <w:rPr>
          <w:rFonts w:eastAsia="仿宋_GB2312"/>
          <w:sz w:val="32"/>
          <w:szCs w:val="32"/>
        </w:rPr>
        <w:t>及以上重大、重点科技项目的能力，具有一定数量的拥有自主知识产权的高新技术成果或专有技术；</w:t>
      </w:r>
    </w:p>
    <w:p>
      <w:pPr>
        <w:pStyle w:val="10"/>
        <w:numPr>
          <w:ilvl w:val="0"/>
          <w:numId w:val="3"/>
        </w:numPr>
        <w:tabs>
          <w:tab w:val="left" w:pos="1701"/>
        </w:tabs>
        <w:spacing w:line="600" w:lineRule="exact"/>
        <w:ind w:left="0" w:firstLine="595" w:firstLineChars="0"/>
        <w:rPr>
          <w:rFonts w:eastAsia="仿宋_GB2312"/>
          <w:sz w:val="32"/>
          <w:szCs w:val="32"/>
        </w:rPr>
      </w:pPr>
      <w:r>
        <w:rPr>
          <w:rFonts w:eastAsia="仿宋_GB2312"/>
          <w:sz w:val="32"/>
          <w:szCs w:val="32"/>
        </w:rPr>
        <w:t>企业管理团队具有较强的市场意识、创新意识和较高的管理水平、健全的管理制度；企业具有较好的技术创新机制，组织体系健全，发展规划和目标明确，创新效率和效益显著；有较完善的产学研联合创新的组织架构；有明确的研究开发任务；有较好的工作研究环境；有行之有效的科技投入机制、竞争激励机制和产学研合作机制；</w:t>
      </w:r>
    </w:p>
    <w:p>
      <w:pPr>
        <w:pStyle w:val="10"/>
        <w:numPr>
          <w:ilvl w:val="0"/>
          <w:numId w:val="3"/>
        </w:numPr>
        <w:tabs>
          <w:tab w:val="left" w:pos="1701"/>
        </w:tabs>
        <w:spacing w:line="600" w:lineRule="exact"/>
        <w:ind w:left="0" w:firstLine="595" w:firstLineChars="0"/>
        <w:rPr>
          <w:rFonts w:eastAsia="仿宋_GB2312"/>
          <w:sz w:val="32"/>
          <w:szCs w:val="32"/>
        </w:rPr>
      </w:pPr>
      <w:r>
        <w:rPr>
          <w:rFonts w:eastAsia="仿宋_GB2312"/>
          <w:sz w:val="32"/>
          <w:szCs w:val="32"/>
        </w:rPr>
        <w:t>有较强的经济实力和较好的经济效益，有财力支持研究开发工作，可以落实建设资金和日常研究开发经费。上一年度研究与试验发展经费支出占同期销售收入总额的比重不低于5%</w:t>
      </w:r>
      <w:r>
        <w:rPr>
          <w:rFonts w:hint="eastAsia" w:eastAsia="仿宋_GB2312"/>
          <w:sz w:val="32"/>
          <w:szCs w:val="32"/>
        </w:rPr>
        <w:t>（</w:t>
      </w:r>
      <w:r>
        <w:rPr>
          <w:rFonts w:eastAsia="仿宋_GB2312"/>
          <w:sz w:val="32"/>
          <w:szCs w:val="32"/>
        </w:rPr>
        <w:t>或不低于200万元</w:t>
      </w:r>
      <w:r>
        <w:rPr>
          <w:rFonts w:hint="eastAsia" w:eastAsia="仿宋_GB2312"/>
          <w:sz w:val="32"/>
          <w:szCs w:val="32"/>
        </w:rPr>
        <w:t>）</w:t>
      </w:r>
      <w:r>
        <w:rPr>
          <w:rFonts w:eastAsia="仿宋_GB2312"/>
          <w:sz w:val="32"/>
          <w:szCs w:val="32"/>
        </w:rPr>
        <w:t>；上一年度高新技术产品销售收入不低于同期销售收入总额的30%；拥有技术水平高、实践经验丰富的技术带头人，专职研究与试验发展人员数不少于企业总人数的10%；</w:t>
      </w:r>
    </w:p>
    <w:p>
      <w:pPr>
        <w:pStyle w:val="10"/>
        <w:numPr>
          <w:ilvl w:val="0"/>
          <w:numId w:val="3"/>
        </w:numPr>
        <w:tabs>
          <w:tab w:val="left" w:pos="1701"/>
        </w:tabs>
        <w:spacing w:line="600" w:lineRule="exact"/>
        <w:ind w:left="0" w:firstLine="595" w:firstLineChars="0"/>
        <w:rPr>
          <w:rFonts w:eastAsia="仿宋_GB2312"/>
          <w:sz w:val="32"/>
          <w:szCs w:val="32"/>
        </w:rPr>
      </w:pPr>
      <w:r>
        <w:rPr>
          <w:rFonts w:eastAsia="仿宋_GB2312"/>
          <w:sz w:val="32"/>
          <w:szCs w:val="32"/>
        </w:rPr>
        <w:t>具有比较完善的研究、开发、试验条件，技术开发仪器设备原值不低于200 万元。</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企业在申请受理截止日期前一年内，不得存在下列情况：</w:t>
      </w:r>
    </w:p>
    <w:p>
      <w:pPr>
        <w:tabs>
          <w:tab w:val="left" w:pos="1701"/>
        </w:tabs>
        <w:spacing w:line="600" w:lineRule="exact"/>
        <w:ind w:firstLine="579" w:firstLineChars="186"/>
        <w:rPr>
          <w:rFonts w:ascii="Times New Roman" w:hAnsi="Times New Roman" w:eastAsia="仿宋_GB2312"/>
          <w:sz w:val="32"/>
          <w:szCs w:val="32"/>
        </w:rPr>
      </w:pPr>
      <w:r>
        <w:rPr>
          <w:rFonts w:ascii="Times New Roman" w:hAnsi="Times New Roman" w:eastAsia="仿宋_GB2312"/>
          <w:sz w:val="32"/>
          <w:szCs w:val="32"/>
        </w:rPr>
        <w:t>（一）有偷税、漏税等违法行为；</w:t>
      </w:r>
    </w:p>
    <w:p>
      <w:pPr>
        <w:tabs>
          <w:tab w:val="left" w:pos="1701"/>
        </w:tabs>
        <w:spacing w:line="600" w:lineRule="exact"/>
        <w:ind w:firstLine="579" w:firstLineChars="186"/>
        <w:rPr>
          <w:rFonts w:ascii="Times New Roman" w:hAnsi="Times New Roman" w:eastAsia="仿宋_GB2312"/>
          <w:sz w:val="32"/>
          <w:szCs w:val="32"/>
        </w:rPr>
      </w:pPr>
      <w:r>
        <w:rPr>
          <w:rFonts w:ascii="Times New Roman" w:hAnsi="Times New Roman" w:eastAsia="仿宋_GB2312"/>
          <w:sz w:val="32"/>
          <w:szCs w:val="32"/>
        </w:rPr>
        <w:t>（二）发生重大安全、重大质量事故或严重环境违法行为。</w:t>
      </w:r>
    </w:p>
    <w:p>
      <w:pPr>
        <w:pStyle w:val="10"/>
        <w:numPr>
          <w:ilvl w:val="0"/>
          <w:numId w:val="1"/>
        </w:numPr>
        <w:spacing w:before="100" w:beforeAutospacing="1"/>
        <w:ind w:firstLineChars="0"/>
        <w:jc w:val="center"/>
        <w:rPr>
          <w:rFonts w:eastAsia="仿宋_GB2312"/>
          <w:b/>
          <w:sz w:val="32"/>
          <w:szCs w:val="32"/>
        </w:rPr>
      </w:pPr>
      <w:r>
        <w:rPr>
          <w:rFonts w:eastAsia="仿宋_GB2312"/>
          <w:b/>
          <w:sz w:val="32"/>
          <w:szCs w:val="32"/>
        </w:rPr>
        <w:t>申报与认定</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企业研发中心的认定，原则上每年进行一次。申报企业将申报材料报至所属盟（市）科技局、国家高新区管委会等单位，盟（市）科技局、国家高新区管委会等对申报材料的真实性和完整性等进行审查。按照要求将申报材料及推荐意见报自治区科技厅。</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企业研发中心规范名称格式为：“</w:t>
      </w:r>
      <w:r>
        <w:rPr>
          <w:rFonts w:ascii="Segoe UI Symbol" w:hAnsi="Segoe UI Symbol" w:eastAsia="仿宋_GB2312" w:cs="Segoe UI Symbol"/>
          <w:sz w:val="32"/>
          <w:szCs w:val="32"/>
        </w:rPr>
        <w:t>☆☆☆★★★</w:t>
      </w:r>
      <w:r>
        <w:rPr>
          <w:rFonts w:eastAsia="仿宋_GB2312"/>
          <w:sz w:val="32"/>
          <w:szCs w:val="32"/>
        </w:rPr>
        <w:t>研究开发中心”。其中，“</w:t>
      </w:r>
      <w:r>
        <w:rPr>
          <w:rFonts w:ascii="Segoe UI Symbol" w:hAnsi="Segoe UI Symbol" w:eastAsia="仿宋_GB2312" w:cs="Segoe UI Symbol"/>
          <w:sz w:val="32"/>
          <w:szCs w:val="32"/>
        </w:rPr>
        <w:t>☆☆☆</w:t>
      </w:r>
      <w:r>
        <w:rPr>
          <w:rFonts w:eastAsia="仿宋_GB2312"/>
          <w:sz w:val="32"/>
          <w:szCs w:val="32"/>
        </w:rPr>
        <w:t>”为依托企业简称，“</w:t>
      </w:r>
      <w:r>
        <w:rPr>
          <w:rFonts w:ascii="Segoe UI Symbol" w:hAnsi="Segoe UI Symbol" w:eastAsia="仿宋_GB2312" w:cs="Segoe UI Symbol"/>
          <w:sz w:val="32"/>
          <w:szCs w:val="32"/>
        </w:rPr>
        <w:t>★★★</w:t>
      </w:r>
      <w:r>
        <w:rPr>
          <w:rFonts w:eastAsia="仿宋_GB2312"/>
          <w:sz w:val="32"/>
          <w:szCs w:val="32"/>
        </w:rPr>
        <w:t>”为依托企业主营业务（应为细分业务）的称谓。</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自治区科技厅组织评审和认定（必要时进行实地考察）。对认定的企业研发中心颁发“内蒙古自治区企业研究开发中心”证书，并予以公告。</w:t>
      </w:r>
    </w:p>
    <w:p>
      <w:pPr>
        <w:pStyle w:val="10"/>
        <w:numPr>
          <w:ilvl w:val="0"/>
          <w:numId w:val="1"/>
        </w:numPr>
        <w:spacing w:before="100" w:beforeAutospacing="1"/>
        <w:ind w:firstLineChars="0"/>
        <w:jc w:val="center"/>
        <w:rPr>
          <w:rFonts w:eastAsia="仿宋_GB2312"/>
          <w:b/>
          <w:sz w:val="32"/>
          <w:szCs w:val="32"/>
        </w:rPr>
      </w:pPr>
      <w:r>
        <w:rPr>
          <w:rFonts w:eastAsia="仿宋_GB2312"/>
          <w:b/>
          <w:sz w:val="32"/>
          <w:szCs w:val="32"/>
        </w:rPr>
        <w:t>监督管理</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企业研发中心应制定年度研究开发、成果转化和产业化的工作计划。</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企业研发中心依托企业发生更名、重组等重大调整的，应在办理相关手续后三个月内报企业研发中心组织单位，并将有关文件（复印件）报自治区科技厅备案。企业研发中心需要更名、重组的，由依托单位提出书面报告，经组织单位审核同意后，报自治区科技厅批准。</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企业研发中心运行情况实行年报制度。各中心应当于每年3月31日前，将上一年度中心的发展情况及相关统计报表报送盟（市）科技局、国家高新区管委会，经盟（市）科技局、国家高新区管委会汇总、审核后上报自治区科技厅。</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企业研发中心实行动态管理。自治区科技厅对企业研发中心每三年组织复核一次。复核结果分为合格和不合格两类，合格的予以确认；不合格的，限期整改；整改不通过的，取消其企业研发中心称号。</w:t>
      </w:r>
    </w:p>
    <w:p>
      <w:pPr>
        <w:pStyle w:val="10"/>
        <w:numPr>
          <w:ilvl w:val="0"/>
          <w:numId w:val="2"/>
        </w:numPr>
        <w:tabs>
          <w:tab w:val="left" w:pos="1701"/>
        </w:tabs>
        <w:spacing w:line="600" w:lineRule="exact"/>
        <w:ind w:left="0" w:firstLine="596" w:firstLineChars="0"/>
        <w:rPr>
          <w:rFonts w:eastAsia="仿宋_GB2312"/>
          <w:sz w:val="32"/>
          <w:szCs w:val="32"/>
        </w:rPr>
      </w:pPr>
      <w:r>
        <w:rPr>
          <w:rFonts w:hint="eastAsia" w:eastAsia="仿宋_GB2312"/>
          <w:sz w:val="32"/>
          <w:szCs w:val="32"/>
        </w:rPr>
        <w:t>有下列情况之一的，撤销自治区企业研发中心资格：</w:t>
      </w:r>
    </w:p>
    <w:p>
      <w:pPr>
        <w:tabs>
          <w:tab w:val="left" w:pos="1701"/>
        </w:tabs>
        <w:spacing w:line="600" w:lineRule="exact"/>
        <w:ind w:firstLine="622" w:firstLineChars="200"/>
        <w:rPr>
          <w:rFonts w:eastAsia="仿宋_GB2312"/>
          <w:sz w:val="32"/>
          <w:szCs w:val="32"/>
        </w:rPr>
      </w:pPr>
      <w:r>
        <w:rPr>
          <w:rFonts w:hint="eastAsia" w:eastAsia="仿宋_GB2312"/>
          <w:sz w:val="32"/>
          <w:szCs w:val="32"/>
        </w:rPr>
        <w:t>（一）复核不合格且整改未通过；</w:t>
      </w:r>
    </w:p>
    <w:p>
      <w:pPr>
        <w:tabs>
          <w:tab w:val="left" w:pos="1701"/>
        </w:tabs>
        <w:spacing w:line="600" w:lineRule="exact"/>
        <w:ind w:firstLine="622" w:firstLineChars="200"/>
        <w:rPr>
          <w:rFonts w:eastAsia="仿宋_GB2312"/>
          <w:sz w:val="32"/>
          <w:szCs w:val="32"/>
        </w:rPr>
      </w:pPr>
      <w:r>
        <w:rPr>
          <w:rFonts w:hint="eastAsia" w:eastAsia="仿宋_GB2312"/>
          <w:sz w:val="32"/>
          <w:szCs w:val="32"/>
        </w:rPr>
        <w:t>（二）逾期未报送复核材料；</w:t>
      </w:r>
    </w:p>
    <w:p>
      <w:pPr>
        <w:tabs>
          <w:tab w:val="left" w:pos="1701"/>
        </w:tabs>
        <w:spacing w:line="600" w:lineRule="exact"/>
        <w:ind w:firstLine="622" w:firstLineChars="200"/>
        <w:rPr>
          <w:rFonts w:eastAsia="仿宋_GB2312"/>
          <w:sz w:val="32"/>
          <w:szCs w:val="32"/>
        </w:rPr>
      </w:pPr>
      <w:r>
        <w:rPr>
          <w:rFonts w:hint="eastAsia" w:eastAsia="仿宋_GB2312"/>
          <w:sz w:val="32"/>
          <w:szCs w:val="32"/>
        </w:rPr>
        <w:t>（三）提供虚假材料和数据；</w:t>
      </w:r>
    </w:p>
    <w:p>
      <w:pPr>
        <w:tabs>
          <w:tab w:val="left" w:pos="1701"/>
        </w:tabs>
        <w:spacing w:line="600" w:lineRule="exact"/>
        <w:ind w:firstLine="622" w:firstLineChars="200"/>
        <w:rPr>
          <w:rFonts w:eastAsia="仿宋_GB2312"/>
          <w:sz w:val="32"/>
          <w:szCs w:val="32"/>
        </w:rPr>
      </w:pPr>
      <w:r>
        <w:rPr>
          <w:rFonts w:hint="eastAsia" w:eastAsia="仿宋_GB2312"/>
          <w:sz w:val="32"/>
          <w:szCs w:val="32"/>
        </w:rPr>
        <w:t>（四）有偷税、漏税等违法行为；</w:t>
      </w:r>
    </w:p>
    <w:p>
      <w:pPr>
        <w:tabs>
          <w:tab w:val="left" w:pos="1701"/>
        </w:tabs>
        <w:spacing w:line="600" w:lineRule="exact"/>
        <w:ind w:firstLine="622" w:firstLineChars="200"/>
        <w:rPr>
          <w:rFonts w:eastAsia="仿宋_GB2312"/>
          <w:sz w:val="32"/>
          <w:szCs w:val="32"/>
        </w:rPr>
      </w:pPr>
      <w:r>
        <w:rPr>
          <w:rFonts w:hint="eastAsia" w:eastAsia="仿宋_GB2312"/>
          <w:sz w:val="32"/>
          <w:szCs w:val="32"/>
        </w:rPr>
        <w:t>（五）由于技术原因发生重大质量、安全事故；</w:t>
      </w:r>
    </w:p>
    <w:p>
      <w:pPr>
        <w:tabs>
          <w:tab w:val="left" w:pos="1701"/>
        </w:tabs>
        <w:spacing w:line="600" w:lineRule="exact"/>
        <w:ind w:firstLine="622" w:firstLineChars="200"/>
        <w:rPr>
          <w:rFonts w:eastAsia="仿宋_GB2312"/>
          <w:sz w:val="32"/>
          <w:szCs w:val="32"/>
        </w:rPr>
      </w:pPr>
      <w:r>
        <w:rPr>
          <w:rFonts w:hint="eastAsia" w:eastAsia="仿宋_GB2312"/>
          <w:sz w:val="32"/>
          <w:szCs w:val="32"/>
        </w:rPr>
        <w:t>（六）发生严重环境违法行为；</w:t>
      </w:r>
    </w:p>
    <w:p>
      <w:pPr>
        <w:tabs>
          <w:tab w:val="left" w:pos="1701"/>
        </w:tabs>
        <w:spacing w:line="600" w:lineRule="exact"/>
        <w:ind w:firstLine="622" w:firstLineChars="200"/>
        <w:rPr>
          <w:rFonts w:eastAsia="仿宋_GB2312"/>
          <w:sz w:val="32"/>
          <w:szCs w:val="32"/>
        </w:rPr>
      </w:pPr>
      <w:r>
        <w:rPr>
          <w:rFonts w:hint="eastAsia" w:eastAsia="仿宋_GB2312"/>
          <w:sz w:val="32"/>
          <w:szCs w:val="32"/>
        </w:rPr>
        <w:t>（七）企业被依法终止。</w:t>
      </w:r>
    </w:p>
    <w:p>
      <w:pPr>
        <w:pStyle w:val="10"/>
        <w:numPr>
          <w:ilvl w:val="0"/>
          <w:numId w:val="1"/>
        </w:numPr>
        <w:spacing w:before="100" w:beforeAutospacing="1"/>
        <w:ind w:firstLineChars="0"/>
        <w:jc w:val="center"/>
        <w:rPr>
          <w:rFonts w:eastAsia="仿宋_GB2312"/>
          <w:b/>
          <w:sz w:val="32"/>
          <w:szCs w:val="32"/>
        </w:rPr>
      </w:pPr>
      <w:r>
        <w:rPr>
          <w:rFonts w:eastAsia="仿宋_GB2312"/>
          <w:b/>
          <w:sz w:val="32"/>
          <w:szCs w:val="32"/>
        </w:rPr>
        <w:t>扶持措施</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盟（市）科技局、国家高新区管委会在推荐或安排科技计划项目时，优先支持企业研发中心或</w:t>
      </w:r>
      <w:r>
        <w:rPr>
          <w:rFonts w:hint="eastAsia" w:eastAsia="仿宋_GB2312"/>
          <w:sz w:val="32"/>
          <w:szCs w:val="32"/>
        </w:rPr>
        <w:t>中</w:t>
      </w:r>
      <w:r>
        <w:rPr>
          <w:rFonts w:eastAsia="仿宋_GB2312"/>
          <w:sz w:val="32"/>
          <w:szCs w:val="32"/>
        </w:rPr>
        <w:t>心依托的企业。</w:t>
      </w:r>
    </w:p>
    <w:p>
      <w:pPr>
        <w:pStyle w:val="10"/>
        <w:numPr>
          <w:ilvl w:val="0"/>
          <w:numId w:val="2"/>
        </w:numPr>
        <w:tabs>
          <w:tab w:val="left" w:pos="1701"/>
        </w:tabs>
        <w:spacing w:line="600" w:lineRule="exact"/>
        <w:ind w:left="0" w:firstLine="579" w:firstLineChars="186"/>
        <w:rPr>
          <w:rFonts w:eastAsia="仿宋_GB2312"/>
          <w:sz w:val="32"/>
          <w:szCs w:val="32"/>
        </w:rPr>
      </w:pPr>
      <w:r>
        <w:rPr>
          <w:rFonts w:eastAsia="仿宋_GB2312"/>
          <w:sz w:val="32"/>
          <w:szCs w:val="32"/>
        </w:rPr>
        <w:t>自治区科技厅在安排自治区科技计划项目时，优先支持企业研发中心或依托企业</w:t>
      </w:r>
      <w:r>
        <w:rPr>
          <w:rFonts w:hint="eastAsia" w:eastAsia="仿宋_GB2312"/>
          <w:sz w:val="32"/>
          <w:szCs w:val="32"/>
        </w:rPr>
        <w:t>，</w:t>
      </w:r>
      <w:r>
        <w:rPr>
          <w:rFonts w:eastAsia="仿宋_GB2312"/>
          <w:sz w:val="32"/>
          <w:szCs w:val="32"/>
        </w:rPr>
        <w:t>对</w:t>
      </w:r>
      <w:r>
        <w:rPr>
          <w:rFonts w:hint="eastAsia" w:eastAsia="仿宋_GB2312"/>
          <w:sz w:val="32"/>
          <w:szCs w:val="32"/>
        </w:rPr>
        <w:t>取得突出</w:t>
      </w:r>
      <w:r>
        <w:rPr>
          <w:rFonts w:eastAsia="仿宋_GB2312"/>
          <w:sz w:val="32"/>
          <w:szCs w:val="32"/>
        </w:rPr>
        <w:t>成绩</w:t>
      </w:r>
      <w:r>
        <w:rPr>
          <w:rFonts w:hint="eastAsia" w:eastAsia="仿宋_GB2312"/>
          <w:sz w:val="32"/>
          <w:szCs w:val="32"/>
        </w:rPr>
        <w:t>的</w:t>
      </w:r>
      <w:r>
        <w:rPr>
          <w:rFonts w:eastAsia="仿宋_GB2312"/>
          <w:sz w:val="32"/>
          <w:szCs w:val="32"/>
        </w:rPr>
        <w:t>企业研发中心</w:t>
      </w:r>
      <w:r>
        <w:rPr>
          <w:rFonts w:hint="eastAsia" w:eastAsia="仿宋_GB2312"/>
          <w:sz w:val="32"/>
          <w:szCs w:val="32"/>
        </w:rPr>
        <w:t>经过</w:t>
      </w:r>
      <w:r>
        <w:rPr>
          <w:rFonts w:eastAsia="仿宋_GB2312"/>
          <w:sz w:val="32"/>
          <w:szCs w:val="32"/>
        </w:rPr>
        <w:t>评估</w:t>
      </w:r>
      <w:r>
        <w:rPr>
          <w:rFonts w:hint="eastAsia" w:eastAsia="仿宋_GB2312"/>
          <w:sz w:val="32"/>
          <w:szCs w:val="32"/>
        </w:rPr>
        <w:t>，择</w:t>
      </w:r>
      <w:r>
        <w:rPr>
          <w:rFonts w:eastAsia="仿宋_GB2312"/>
          <w:sz w:val="32"/>
          <w:szCs w:val="32"/>
        </w:rPr>
        <w:t>优给予奖励。</w:t>
      </w:r>
    </w:p>
    <w:p>
      <w:pPr>
        <w:pStyle w:val="10"/>
        <w:numPr>
          <w:ilvl w:val="0"/>
          <w:numId w:val="1"/>
        </w:numPr>
        <w:spacing w:before="100" w:beforeAutospacing="1"/>
        <w:ind w:firstLineChars="0"/>
        <w:jc w:val="center"/>
        <w:rPr>
          <w:rFonts w:eastAsia="仿宋_GB2312"/>
          <w:b/>
          <w:sz w:val="32"/>
          <w:szCs w:val="32"/>
        </w:rPr>
      </w:pPr>
      <w:r>
        <w:rPr>
          <w:rFonts w:eastAsia="仿宋_GB2312"/>
          <w:b/>
          <w:sz w:val="32"/>
          <w:szCs w:val="32"/>
        </w:rPr>
        <w:t>附  则</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本办法涉及的申报、复核等详细材料和要求，由自治区科技厅另行发布并适时调整。</w:t>
      </w:r>
    </w:p>
    <w:p>
      <w:pPr>
        <w:pStyle w:val="10"/>
        <w:numPr>
          <w:ilvl w:val="0"/>
          <w:numId w:val="2"/>
        </w:numPr>
        <w:tabs>
          <w:tab w:val="left" w:pos="1701"/>
        </w:tabs>
        <w:spacing w:line="600" w:lineRule="exact"/>
        <w:ind w:left="0" w:firstLine="596" w:firstLineChars="0"/>
        <w:rPr>
          <w:rFonts w:eastAsia="仿宋_GB2312"/>
          <w:sz w:val="32"/>
          <w:szCs w:val="32"/>
        </w:rPr>
      </w:pPr>
      <w:r>
        <w:rPr>
          <w:rFonts w:eastAsia="仿宋_GB2312"/>
          <w:sz w:val="32"/>
          <w:szCs w:val="32"/>
        </w:rPr>
        <w:t>本办法由自治区科技厅负责解释。</w:t>
      </w:r>
    </w:p>
    <w:p>
      <w:pPr>
        <w:pStyle w:val="10"/>
        <w:numPr>
          <w:ilvl w:val="0"/>
          <w:numId w:val="2"/>
        </w:numPr>
        <w:tabs>
          <w:tab w:val="left" w:pos="1701"/>
        </w:tabs>
        <w:spacing w:line="600" w:lineRule="exact"/>
        <w:ind w:left="0" w:firstLine="596" w:firstLineChars="0"/>
      </w:pPr>
      <w:r>
        <w:rPr>
          <w:rFonts w:eastAsia="仿宋_GB2312"/>
          <w:sz w:val="32"/>
          <w:szCs w:val="32"/>
        </w:rPr>
        <w:t>本办法自</w:t>
      </w:r>
      <w:r>
        <w:rPr>
          <w:rFonts w:hint="eastAsia" w:eastAsia="仿宋_GB2312"/>
          <w:sz w:val="32"/>
          <w:szCs w:val="32"/>
        </w:rPr>
        <w:t>2</w:t>
      </w:r>
      <w:r>
        <w:rPr>
          <w:rFonts w:eastAsia="仿宋_GB2312"/>
          <w:sz w:val="32"/>
          <w:szCs w:val="32"/>
        </w:rPr>
        <w:t>017</w:t>
      </w:r>
      <w:r>
        <w:rPr>
          <w:rFonts w:hint="eastAsia" w:eastAsia="仿宋_GB2312"/>
          <w:sz w:val="32"/>
          <w:szCs w:val="32"/>
        </w:rPr>
        <w:t>年</w:t>
      </w:r>
      <w:r>
        <w:rPr>
          <w:rFonts w:eastAsia="仿宋_GB2312"/>
          <w:sz w:val="32"/>
          <w:szCs w:val="32"/>
        </w:rPr>
        <w:t>9</w:t>
      </w:r>
      <w:r>
        <w:rPr>
          <w:rFonts w:hint="eastAsia" w:eastAsia="仿宋_GB2312"/>
          <w:sz w:val="32"/>
          <w:szCs w:val="32"/>
        </w:rPr>
        <w:t>月</w:t>
      </w:r>
      <w:r>
        <w:rPr>
          <w:rFonts w:eastAsia="仿宋_GB2312"/>
          <w:sz w:val="32"/>
          <w:szCs w:val="32"/>
        </w:rPr>
        <w:t>1日起施行，原《内蒙古自治区企业研究开发中心认定管理办法》（内科发新字〔2009〕18号）同时废止。</w:t>
      </w:r>
    </w:p>
    <w:sectPr>
      <w:footerReference r:id="rId3" w:type="default"/>
      <w:footerReference r:id="rId4" w:type="even"/>
      <w:pgSz w:w="11906" w:h="16838"/>
      <w:pgMar w:top="2098" w:right="1474" w:bottom="1871" w:left="1588" w:header="851" w:footer="1531"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20 -</w:t>
    </w:r>
    <w:r>
      <w:rPr>
        <w:rFonts w:ascii="仿宋" w:hAnsi="仿宋" w:eastAsia="仿宋"/>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B703B"/>
    <w:multiLevelType w:val="multilevel"/>
    <w:tmpl w:val="1FBB703B"/>
    <w:lvl w:ilvl="0" w:tentative="0">
      <w:start w:val="1"/>
      <w:numFmt w:val="japaneseCounting"/>
      <w:lvlText w:val="（%1）"/>
      <w:lvlJc w:val="left"/>
      <w:pPr>
        <w:ind w:left="2155" w:hanging="1560"/>
      </w:pPr>
      <w:rPr>
        <w:rFonts w:hint="default"/>
      </w:rPr>
    </w:lvl>
    <w:lvl w:ilvl="1" w:tentative="0">
      <w:start w:val="1"/>
      <w:numFmt w:val="lowerLetter"/>
      <w:lvlText w:val="%2)"/>
      <w:lvlJc w:val="left"/>
      <w:pPr>
        <w:ind w:left="1435" w:hanging="420"/>
      </w:pPr>
    </w:lvl>
    <w:lvl w:ilvl="2" w:tentative="0">
      <w:start w:val="1"/>
      <w:numFmt w:val="lowerRoman"/>
      <w:lvlText w:val="%3."/>
      <w:lvlJc w:val="right"/>
      <w:pPr>
        <w:ind w:left="1855" w:hanging="420"/>
      </w:pPr>
    </w:lvl>
    <w:lvl w:ilvl="3" w:tentative="0">
      <w:start w:val="1"/>
      <w:numFmt w:val="decimal"/>
      <w:lvlText w:val="%4."/>
      <w:lvlJc w:val="left"/>
      <w:pPr>
        <w:ind w:left="2275" w:hanging="420"/>
      </w:pPr>
    </w:lvl>
    <w:lvl w:ilvl="4" w:tentative="0">
      <w:start w:val="1"/>
      <w:numFmt w:val="lowerLetter"/>
      <w:lvlText w:val="%5)"/>
      <w:lvlJc w:val="left"/>
      <w:pPr>
        <w:ind w:left="2695" w:hanging="420"/>
      </w:pPr>
    </w:lvl>
    <w:lvl w:ilvl="5" w:tentative="0">
      <w:start w:val="1"/>
      <w:numFmt w:val="lowerRoman"/>
      <w:lvlText w:val="%6."/>
      <w:lvlJc w:val="right"/>
      <w:pPr>
        <w:ind w:left="3115" w:hanging="420"/>
      </w:pPr>
    </w:lvl>
    <w:lvl w:ilvl="6" w:tentative="0">
      <w:start w:val="1"/>
      <w:numFmt w:val="decimal"/>
      <w:lvlText w:val="%7."/>
      <w:lvlJc w:val="left"/>
      <w:pPr>
        <w:ind w:left="3535" w:hanging="420"/>
      </w:pPr>
    </w:lvl>
    <w:lvl w:ilvl="7" w:tentative="0">
      <w:start w:val="1"/>
      <w:numFmt w:val="lowerLetter"/>
      <w:lvlText w:val="%8)"/>
      <w:lvlJc w:val="left"/>
      <w:pPr>
        <w:ind w:left="3955" w:hanging="420"/>
      </w:pPr>
    </w:lvl>
    <w:lvl w:ilvl="8" w:tentative="0">
      <w:start w:val="1"/>
      <w:numFmt w:val="lowerRoman"/>
      <w:lvlText w:val="%9."/>
      <w:lvlJc w:val="right"/>
      <w:pPr>
        <w:ind w:left="4375" w:hanging="420"/>
      </w:pPr>
    </w:lvl>
  </w:abstractNum>
  <w:abstractNum w:abstractNumId="1">
    <w:nsid w:val="47164FF2"/>
    <w:multiLevelType w:val="multilevel"/>
    <w:tmpl w:val="47164FF2"/>
    <w:lvl w:ilvl="0" w:tentative="0">
      <w:start w:val="1"/>
      <w:numFmt w:val="japaneseCounting"/>
      <w:lvlText w:val="第%1章"/>
      <w:lvlJc w:val="left"/>
      <w:pPr>
        <w:ind w:left="1344" w:hanging="134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421460"/>
    <w:multiLevelType w:val="multilevel"/>
    <w:tmpl w:val="55421460"/>
    <w:lvl w:ilvl="0" w:tentative="0">
      <w:start w:val="1"/>
      <w:numFmt w:val="japaneseCounting"/>
      <w:lvlText w:val="第%1条"/>
      <w:lvlJc w:val="left"/>
      <w:pPr>
        <w:ind w:left="2426" w:hanging="1830"/>
      </w:pPr>
      <w:rPr>
        <w:rFonts w:hint="eastAsia" w:ascii="仿宋_GB2312" w:eastAsia="仿宋_GB2312"/>
        <w:b/>
        <w:sz w:val="32"/>
        <w:szCs w:val="32"/>
      </w:rPr>
    </w:lvl>
    <w:lvl w:ilvl="1" w:tentative="0">
      <w:start w:val="1"/>
      <w:numFmt w:val="lowerLetter"/>
      <w:lvlText w:val="%2)"/>
      <w:lvlJc w:val="left"/>
      <w:pPr>
        <w:ind w:left="1436" w:hanging="420"/>
      </w:pPr>
    </w:lvl>
    <w:lvl w:ilvl="2" w:tentative="0">
      <w:start w:val="1"/>
      <w:numFmt w:val="lowerRoman"/>
      <w:lvlText w:val="%3."/>
      <w:lvlJc w:val="right"/>
      <w:pPr>
        <w:ind w:left="1856" w:hanging="420"/>
      </w:pPr>
    </w:lvl>
    <w:lvl w:ilvl="3" w:tentative="0">
      <w:start w:val="1"/>
      <w:numFmt w:val="decimal"/>
      <w:lvlText w:val="%4."/>
      <w:lvlJc w:val="left"/>
      <w:pPr>
        <w:ind w:left="2276" w:hanging="420"/>
      </w:pPr>
    </w:lvl>
    <w:lvl w:ilvl="4" w:tentative="0">
      <w:start w:val="1"/>
      <w:numFmt w:val="lowerLetter"/>
      <w:lvlText w:val="%5)"/>
      <w:lvlJc w:val="left"/>
      <w:pPr>
        <w:ind w:left="2696" w:hanging="420"/>
      </w:pPr>
    </w:lvl>
    <w:lvl w:ilvl="5" w:tentative="0">
      <w:start w:val="1"/>
      <w:numFmt w:val="lowerRoman"/>
      <w:lvlText w:val="%6."/>
      <w:lvlJc w:val="right"/>
      <w:pPr>
        <w:ind w:left="3116" w:hanging="420"/>
      </w:pPr>
    </w:lvl>
    <w:lvl w:ilvl="6" w:tentative="0">
      <w:start w:val="1"/>
      <w:numFmt w:val="decimal"/>
      <w:lvlText w:val="%7."/>
      <w:lvlJc w:val="left"/>
      <w:pPr>
        <w:ind w:left="3536" w:hanging="420"/>
      </w:pPr>
    </w:lvl>
    <w:lvl w:ilvl="7" w:tentative="0">
      <w:start w:val="1"/>
      <w:numFmt w:val="lowerLetter"/>
      <w:lvlText w:val="%8)"/>
      <w:lvlJc w:val="left"/>
      <w:pPr>
        <w:ind w:left="3956" w:hanging="420"/>
      </w:pPr>
    </w:lvl>
    <w:lvl w:ilvl="8" w:tentative="0">
      <w:start w:val="1"/>
      <w:numFmt w:val="lowerRoman"/>
      <w:lvlText w:val="%9."/>
      <w:lvlJc w:val="right"/>
      <w:pPr>
        <w:ind w:left="437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21"/>
    <w:rsid w:val="000C32E9"/>
    <w:rsid w:val="00167EC6"/>
    <w:rsid w:val="00386E04"/>
    <w:rsid w:val="003E44B0"/>
    <w:rsid w:val="004F27F4"/>
    <w:rsid w:val="006A063F"/>
    <w:rsid w:val="007279F7"/>
    <w:rsid w:val="008646F2"/>
    <w:rsid w:val="008D3083"/>
    <w:rsid w:val="00942D60"/>
    <w:rsid w:val="009C3F17"/>
    <w:rsid w:val="00A04921"/>
    <w:rsid w:val="2CC8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kern w:val="0"/>
      <w:sz w:val="18"/>
      <w:szCs w:val="18"/>
      <w:lang w:val="zh-CN" w:eastAsia="zh-CN"/>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脚 字符"/>
    <w:basedOn w:val="6"/>
    <w:semiHidden/>
    <w:uiPriority w:val="99"/>
    <w:rPr>
      <w:rFonts w:ascii="Calibri" w:hAnsi="Calibri" w:eastAsia="宋体" w:cs="Times New Roman"/>
      <w:sz w:val="18"/>
      <w:szCs w:val="18"/>
    </w:rPr>
  </w:style>
  <w:style w:type="character" w:customStyle="1" w:styleId="8">
    <w:name w:val="页脚 字符1"/>
    <w:link w:val="2"/>
    <w:qFormat/>
    <w:uiPriority w:val="99"/>
    <w:rPr>
      <w:rFonts w:ascii="Calibri" w:hAnsi="Calibri" w:eastAsia="宋体" w:cs="Times New Roman"/>
      <w:kern w:val="0"/>
      <w:sz w:val="18"/>
      <w:szCs w:val="18"/>
      <w:lang w:val="zh-CN" w:eastAsia="zh-CN"/>
    </w:rPr>
  </w:style>
  <w:style w:type="paragraph" w:customStyle="1" w:styleId="9">
    <w:name w:val="局发文正文"/>
    <w:basedOn w:val="1"/>
    <w:qFormat/>
    <w:uiPriority w:val="0"/>
    <w:pPr>
      <w:adjustRightInd w:val="0"/>
      <w:spacing w:line="600" w:lineRule="exact"/>
      <w:ind w:firstLine="200" w:firstLineChars="200"/>
      <w:textAlignment w:val="baseline"/>
    </w:pPr>
    <w:rPr>
      <w:rFonts w:ascii="仿宋_GB2312" w:hAnsi="Times New Roman" w:eastAsia="仿宋_GB2312"/>
      <w:caps/>
      <w:spacing w:val="6"/>
      <w:kern w:val="0"/>
      <w:sz w:val="30"/>
      <w:szCs w:val="20"/>
    </w:rPr>
  </w:style>
  <w:style w:type="paragraph" w:styleId="10">
    <w:name w:val="List Paragraph"/>
    <w:basedOn w:val="1"/>
    <w:qFormat/>
    <w:uiPriority w:val="0"/>
    <w:pPr>
      <w:ind w:firstLine="420" w:firstLineChars="200"/>
    </w:pPr>
    <w:rPr>
      <w:rFonts w:ascii="Times New Roman" w:hAnsi="Times New Roman"/>
      <w:szCs w:val="24"/>
    </w:rPr>
  </w:style>
  <w:style w:type="character" w:customStyle="1" w:styleId="11">
    <w:name w:val="页眉 字符"/>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392</Words>
  <Characters>2240</Characters>
  <Lines>18</Lines>
  <Paragraphs>5</Paragraphs>
  <TotalTime>16</TotalTime>
  <ScaleCrop>false</ScaleCrop>
  <LinksUpToDate>false</LinksUpToDate>
  <CharactersWithSpaces>2627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2017-08-01T08:49:00Z</dcterms:created>
  <dc:creator>徐斌</dc:creator>
  <cp:lastModifiedBy>飞行</cp:lastModifiedBy>
  <dcterms:modified xsi:type="dcterms:W3CDTF">2021-05-07T03:31:38Z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6A1F1D868EE94550919AB2BF95DABF1C</vt:lpwstr>
  </property>
</Properties>
</file>