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029" w:rsidRDefault="008F2029">
      <w:pPr>
        <w:widowControl/>
        <w:jc w:val="left"/>
        <w:rPr>
          <w:rFonts w:ascii="黑体" w:eastAsia="黑体" w:hAnsi="黑体"/>
          <w:sz w:val="32"/>
          <w:szCs w:val="32"/>
        </w:rPr>
      </w:pPr>
    </w:p>
    <w:p w:rsidR="008F2029" w:rsidRDefault="00124221">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3</w:t>
      </w:r>
      <w:r>
        <w:rPr>
          <w:rFonts w:ascii="黑体" w:eastAsia="黑体" w:hAnsi="黑体" w:hint="eastAsia"/>
          <w:sz w:val="32"/>
          <w:szCs w:val="32"/>
        </w:rPr>
        <w:t>：</w:t>
      </w:r>
    </w:p>
    <w:p w:rsidR="008F2029" w:rsidRDefault="008F2029">
      <w:pPr>
        <w:rPr>
          <w:rFonts w:ascii="黑体" w:eastAsia="黑体" w:hAnsi="黑体"/>
          <w:sz w:val="32"/>
          <w:szCs w:val="32"/>
        </w:rPr>
      </w:pPr>
    </w:p>
    <w:p w:rsidR="008F2029" w:rsidRDefault="00124221">
      <w:pPr>
        <w:jc w:val="center"/>
        <w:rPr>
          <w:rFonts w:ascii="宋体" w:eastAsia="宋体" w:hAnsi="宋体"/>
          <w:b/>
          <w:sz w:val="44"/>
          <w:szCs w:val="44"/>
        </w:rPr>
      </w:pPr>
      <w:r>
        <w:rPr>
          <w:rFonts w:ascii="宋体" w:eastAsia="宋体" w:hAnsi="宋体" w:hint="eastAsia"/>
          <w:b/>
          <w:sz w:val="44"/>
          <w:szCs w:val="44"/>
        </w:rPr>
        <w:t>自治区重点实验室评估指标体系说明</w:t>
      </w:r>
    </w:p>
    <w:p w:rsidR="008F2029" w:rsidRDefault="008F2029">
      <w:pPr>
        <w:rPr>
          <w:rFonts w:ascii="仿宋_GB2312" w:eastAsia="仿宋_GB2312"/>
          <w:sz w:val="32"/>
          <w:szCs w:val="32"/>
        </w:rPr>
      </w:pPr>
    </w:p>
    <w:p w:rsidR="008F2029" w:rsidRDefault="00124221">
      <w:pPr>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w:t>
      </w:r>
      <w:r>
        <w:rPr>
          <w:rFonts w:ascii="黑体" w:eastAsia="黑体" w:hAnsi="黑体" w:hint="eastAsia"/>
          <w:sz w:val="32"/>
          <w:szCs w:val="32"/>
        </w:rPr>
        <w:t>研发条件与能力</w:t>
      </w:r>
    </w:p>
    <w:p w:rsidR="008F2029" w:rsidRDefault="00124221">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sz w:val="32"/>
          <w:szCs w:val="32"/>
        </w:rPr>
        <w:t>实验室定位</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t>定位应符合自治区重点实验室定位要求，地区特色鲜明；研发方向明确，符合科学发展和国家、自治区经济社会发展需求。作为本领域区内研究中心，对学科领域发展起到了辐射带动作用。</w:t>
      </w:r>
    </w:p>
    <w:p w:rsidR="008F2029" w:rsidRDefault="00124221">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sz w:val="32"/>
          <w:szCs w:val="32"/>
        </w:rPr>
        <w:t>依托单位研发投入</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t>依托单位应投入稳定的经费保障实验室运行。主要评估依托单位对实验室的科研和运行经费投入情况（包括日常运行经费、人才培养与引进经费、仪器设备经费、开放课题经费等基础条件经费）。</w:t>
      </w:r>
    </w:p>
    <w:p w:rsidR="008F2029" w:rsidRDefault="00124221">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sz w:val="32"/>
          <w:szCs w:val="32"/>
        </w:rPr>
        <w:t>承担科研任务</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t>主要研究方向发展良好，有较强的承担和组织国家及自治区重大科研任务的能力，主要评估新增承担科研项目的数量、质量及获得资助的经费情况。</w:t>
      </w:r>
    </w:p>
    <w:p w:rsidR="008F2029" w:rsidRDefault="00124221">
      <w:pPr>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w:t>
      </w:r>
      <w:r>
        <w:rPr>
          <w:rFonts w:ascii="黑体" w:eastAsia="黑体" w:hAnsi="黑体" w:hint="eastAsia"/>
          <w:sz w:val="32"/>
          <w:szCs w:val="32"/>
        </w:rPr>
        <w:t>科研水平与贡献</w:t>
      </w:r>
    </w:p>
    <w:p w:rsidR="008F2029" w:rsidRDefault="00124221">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sz w:val="32"/>
          <w:szCs w:val="32"/>
        </w:rPr>
        <w:t>标志性成果</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lastRenderedPageBreak/>
        <w:t>产出具有显著影响力的标志性研究成果（重大科学发现、关键技术攻关、取得重大经济效益的科研成果、产出杰出人才、实验室建设层次提升等），而不是某研究方向上关联度不高的成果的汇总和拼凑。主要评估在实验室主要研究方向上，以实验室为基地、实验室固定人员为主产生的</w:t>
      </w:r>
      <w:r>
        <w:rPr>
          <w:rFonts w:ascii="仿宋_GB2312" w:eastAsia="仿宋_GB2312"/>
          <w:sz w:val="32"/>
          <w:szCs w:val="32"/>
        </w:rPr>
        <w:t>1-2</w:t>
      </w:r>
      <w:r>
        <w:rPr>
          <w:rFonts w:ascii="仿宋_GB2312" w:eastAsia="仿宋_GB2312"/>
          <w:sz w:val="32"/>
          <w:szCs w:val="32"/>
        </w:rPr>
        <w:t>项标志性重大研究成果，注重投入产出比。</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t>标志性成果名称表述应明确、具体，成果按基础研究、</w:t>
      </w:r>
      <w:r>
        <w:rPr>
          <w:rFonts w:ascii="仿宋_GB2312" w:eastAsia="仿宋_GB2312" w:hint="eastAsia"/>
          <w:sz w:val="32"/>
          <w:szCs w:val="32"/>
        </w:rPr>
        <w:t>应用基础研究、基础性工作和其它成果分类，不同类型成果按不同标准评价。</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sz w:val="32"/>
          <w:szCs w:val="32"/>
        </w:rPr>
        <w:t>）基础研究成果</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t>在科学前沿的探索研究中取得系统性原创成果，并具有重要国内外影响。在本领域公认的重要期刊上发表系列高水平学术论文，或出版高水平学术专著，或获得省部级及以上一等奖，或在国际重要学术会议上</w:t>
      </w:r>
      <w:proofErr w:type="gramStart"/>
      <w:r>
        <w:rPr>
          <w:rFonts w:ascii="仿宋_GB2312" w:eastAsia="仿宋_GB2312" w:hint="eastAsia"/>
          <w:sz w:val="32"/>
          <w:szCs w:val="32"/>
        </w:rPr>
        <w:t>做邀请</w:t>
      </w:r>
      <w:proofErr w:type="gramEnd"/>
      <w:r>
        <w:rPr>
          <w:rFonts w:ascii="仿宋_GB2312" w:eastAsia="仿宋_GB2312" w:hint="eastAsia"/>
          <w:sz w:val="32"/>
          <w:szCs w:val="32"/>
        </w:rPr>
        <w:t>报告，产生重要学术影响。</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sz w:val="32"/>
          <w:szCs w:val="32"/>
        </w:rPr>
        <w:t>）应用基础研究成果</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t>在解决国家和自治区经济建设、社会发展和国家安全的重大需求和在国家及自治区重大工程中具有创新思想与方法，实现重要理论创新、关键技术突破或集成，拥有核心专利等自主知识产权，提供科学基础和技</w:t>
      </w:r>
      <w:r>
        <w:rPr>
          <w:rFonts w:ascii="仿宋_GB2312" w:eastAsia="仿宋_GB2312" w:hint="eastAsia"/>
          <w:sz w:val="32"/>
          <w:szCs w:val="32"/>
        </w:rPr>
        <w:t>术储备，取得创造性成果并获得良好的经济和社会效益，或获得省部级及以上一等奖，或在实验技术方法、专用设备研制改进方面取得突破</w:t>
      </w:r>
      <w:r>
        <w:rPr>
          <w:rFonts w:ascii="仿宋_GB2312" w:eastAsia="仿宋_GB2312" w:hint="eastAsia"/>
          <w:sz w:val="32"/>
          <w:szCs w:val="32"/>
        </w:rPr>
        <w:lastRenderedPageBreak/>
        <w:t>性进展。</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sz w:val="32"/>
          <w:szCs w:val="32"/>
        </w:rPr>
        <w:t>）基础性工作成果</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t xml:space="preserve">基本科学数据、资料和信息具有权威性、系统性、完整性、科学性，并提供良好的公共服务和资源共享，为相关领域科学研究提供支撑，为国家宏观决策提供科学依据。　</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sz w:val="32"/>
          <w:szCs w:val="32"/>
        </w:rPr>
        <w:t>）其它成果</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t>指在实验室主要研究方向上培养出省部级及以上杰出人才，包括国家杰青、</w:t>
      </w:r>
      <w:proofErr w:type="gramStart"/>
      <w:r>
        <w:rPr>
          <w:rFonts w:ascii="仿宋_GB2312" w:eastAsia="仿宋_GB2312" w:hint="eastAsia"/>
          <w:sz w:val="32"/>
          <w:szCs w:val="32"/>
        </w:rPr>
        <w:t>优青计划</w:t>
      </w:r>
      <w:proofErr w:type="gramEnd"/>
      <w:r>
        <w:rPr>
          <w:rFonts w:ascii="仿宋_GB2312" w:eastAsia="仿宋_GB2312" w:hint="eastAsia"/>
          <w:sz w:val="32"/>
          <w:szCs w:val="32"/>
        </w:rPr>
        <w:t>人选，</w:t>
      </w:r>
      <w:r>
        <w:rPr>
          <w:rFonts w:ascii="仿宋_GB2312" w:eastAsia="仿宋_GB2312" w:hint="eastAsia"/>
          <w:sz w:val="32"/>
          <w:szCs w:val="32"/>
        </w:rPr>
        <w:t>教育部长江特聘教授，教育部新世纪优秀人才支持计划人选，自治</w:t>
      </w:r>
      <w:r>
        <w:rPr>
          <w:rFonts w:ascii="仿宋_GB2312" w:eastAsia="仿宋_GB2312" w:hint="eastAsia"/>
          <w:sz w:val="32"/>
          <w:szCs w:val="32"/>
        </w:rPr>
        <w:t>区杰出人才奖获得者。或实验室层次提升为国家或各部委重点实验室。</w:t>
      </w:r>
    </w:p>
    <w:p w:rsidR="008F2029" w:rsidRDefault="00124221">
      <w:pPr>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sz w:val="32"/>
          <w:szCs w:val="32"/>
        </w:rPr>
        <w:t>论文、著作、知识产权及标准等</w:t>
      </w:r>
      <w:bookmarkStart w:id="0" w:name="_GoBack"/>
      <w:bookmarkEnd w:id="0"/>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t>在本领域公认的核心期刊上发表高水平学术论文，或出版学术专著等；拥有核心专利等知识产权。主要评估实验室各个研究方向上发表的论文（标注实验室且实验室固定人员为第一或通讯作者）和专著（实验室固定人员为第一作者或主编）的水平及行业影响力，申请和获得的发明专利，获得的软件著作权、新药证书，新品种审定，制（修）定的国际、国家及行业标准等。</w:t>
      </w:r>
    </w:p>
    <w:p w:rsidR="008F2029" w:rsidRDefault="00124221">
      <w:pPr>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sz w:val="32"/>
          <w:szCs w:val="32"/>
        </w:rPr>
        <w:t>成果转化及社会经济效益</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t>研究成果的可转化性高，转让和推广应用情况良好，产生的社会经济效益显著。主要评估技术成果转让情况，以及为政府科技及相关产业发展规划提供咨询和决策服务情况</w:t>
      </w:r>
      <w:r>
        <w:rPr>
          <w:rFonts w:ascii="仿宋_GB2312" w:eastAsia="仿宋_GB2312" w:hint="eastAsia"/>
          <w:sz w:val="32"/>
          <w:szCs w:val="32"/>
        </w:rPr>
        <w:lastRenderedPageBreak/>
        <w:t>等。</w:t>
      </w:r>
    </w:p>
    <w:p w:rsidR="008F2029" w:rsidRDefault="00124221">
      <w:pPr>
        <w:ind w:firstLineChars="200" w:firstLine="640"/>
        <w:rPr>
          <w:rFonts w:ascii="黑体" w:eastAsia="黑体" w:hAnsi="黑体"/>
          <w:sz w:val="32"/>
          <w:szCs w:val="32"/>
        </w:rPr>
      </w:pPr>
      <w:r>
        <w:rPr>
          <w:rFonts w:ascii="黑体" w:eastAsia="黑体" w:hAnsi="黑体" w:hint="eastAsia"/>
          <w:sz w:val="32"/>
          <w:szCs w:val="32"/>
        </w:rPr>
        <w:t>三、团队建设与人才培养</w:t>
      </w:r>
    </w:p>
    <w:p w:rsidR="008F2029" w:rsidRDefault="00124221">
      <w:pPr>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sz w:val="32"/>
          <w:szCs w:val="32"/>
        </w:rPr>
        <w:t>实验室主任与学术带头人作用</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t>实验室主任应是本领域高水平的学术带头人，在实验室的建设与发展中起到主导作用；各研究方向有高水平的学术带头人和学术骨干。主要评估实验室主任与各研究方向学术带头人的科研水平、组织管理与协调能力、学科影响力，以及取得的科研成果及承担重大课题情况等。实验室学术骨干在主要研究方向上开展工作，并是代表性成果的主要完成人。</w:t>
      </w:r>
    </w:p>
    <w:p w:rsidR="008F2029" w:rsidRDefault="00124221">
      <w:pPr>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sz w:val="32"/>
          <w:szCs w:val="32"/>
        </w:rPr>
        <w:t>团队结构层次及成长性</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t>队伍结构合理、稳定，并在长期合作基础上围绕主要研究方向形成若干活跃的创新团队。注重引进和培养高层次人才，特别注重</w:t>
      </w:r>
      <w:r>
        <w:rPr>
          <w:rFonts w:ascii="仿宋_GB2312" w:eastAsia="仿宋_GB2312"/>
          <w:sz w:val="32"/>
          <w:szCs w:val="32"/>
        </w:rPr>
        <w:t>40</w:t>
      </w:r>
      <w:r>
        <w:rPr>
          <w:rFonts w:ascii="仿宋_GB2312" w:eastAsia="仿宋_GB2312"/>
          <w:sz w:val="32"/>
          <w:szCs w:val="32"/>
        </w:rPr>
        <w:t>岁以下青年研究骨干的比例和作用。主要评估团队的规模、专业配</w:t>
      </w:r>
      <w:r>
        <w:rPr>
          <w:rFonts w:ascii="仿宋_GB2312" w:eastAsia="仿宋_GB2312"/>
          <w:sz w:val="32"/>
          <w:szCs w:val="32"/>
        </w:rPr>
        <w:t>置、年龄层次、岗位设置、职称比例，自身人才成长和学术水平提高，引进和培养高层次人才等情况。</w:t>
      </w:r>
    </w:p>
    <w:p w:rsidR="008F2029" w:rsidRDefault="00124221">
      <w:pPr>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sz w:val="32"/>
          <w:szCs w:val="32"/>
        </w:rPr>
        <w:t>人才培养</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t>注重为社会培养一定数量的优秀专业人才。主要评估培训与培养行（产）业技术人员情况，培养硕士、博士、博士后人才，以及建立博士后流动站（工作站）情况等。</w:t>
      </w:r>
    </w:p>
    <w:p w:rsidR="008F2029" w:rsidRDefault="00124221">
      <w:pPr>
        <w:ind w:firstLineChars="200" w:firstLine="640"/>
        <w:rPr>
          <w:rFonts w:ascii="黑体" w:eastAsia="黑体" w:hAnsi="黑体"/>
          <w:sz w:val="32"/>
          <w:szCs w:val="32"/>
        </w:rPr>
      </w:pPr>
      <w:r>
        <w:rPr>
          <w:rFonts w:ascii="黑体" w:eastAsia="黑体" w:hAnsi="黑体" w:hint="eastAsia"/>
          <w:sz w:val="32"/>
          <w:szCs w:val="32"/>
        </w:rPr>
        <w:t>四、开放交流与运行管理</w:t>
      </w:r>
    </w:p>
    <w:p w:rsidR="008F2029" w:rsidRDefault="00124221">
      <w:pPr>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sz w:val="32"/>
          <w:szCs w:val="32"/>
        </w:rPr>
        <w:t>管理体制与内部运行</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lastRenderedPageBreak/>
        <w:t>实验室应为相对独立的科研实体，拥有充分的人财物调配权；内部规章制度健全、财务管理规范，激励创新政策措施得力，人员岗位职责明确，研究资料完整，仪器设备和科研用房相对集中；学术委员会发挥重要作用；依托单位在人才引</w:t>
      </w:r>
      <w:r>
        <w:rPr>
          <w:rFonts w:ascii="仿宋_GB2312" w:eastAsia="仿宋_GB2312" w:hint="eastAsia"/>
          <w:sz w:val="32"/>
          <w:szCs w:val="32"/>
        </w:rPr>
        <w:t>进、研究生招生、实验室面积、岗位津贴分配、经费和后勤保障等方面有明确政策保障。</w:t>
      </w:r>
    </w:p>
    <w:p w:rsidR="008F2029" w:rsidRDefault="00124221">
      <w:pPr>
        <w:ind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sz w:val="32"/>
          <w:szCs w:val="32"/>
        </w:rPr>
        <w:t>开放、合作与交流</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t>与国际、国内一流科研机构和学术机构开展实质性合作交流情况（</w:t>
      </w:r>
      <w:proofErr w:type="gramStart"/>
      <w:r>
        <w:rPr>
          <w:rFonts w:ascii="仿宋_GB2312" w:eastAsia="仿宋_GB2312" w:hint="eastAsia"/>
          <w:sz w:val="32"/>
          <w:szCs w:val="32"/>
        </w:rPr>
        <w:t>含科研</w:t>
      </w:r>
      <w:proofErr w:type="gramEnd"/>
      <w:r>
        <w:rPr>
          <w:rFonts w:ascii="仿宋_GB2312" w:eastAsia="仿宋_GB2312" w:hint="eastAsia"/>
          <w:sz w:val="32"/>
          <w:szCs w:val="32"/>
        </w:rPr>
        <w:t>合作、产学研合作、开放课题、与其它实验室联动、学术交流等）；仪器设备等资源开放共享情况；实验室开展科学知识传播，向社会公众特别是学生开放情况。</w:t>
      </w:r>
    </w:p>
    <w:p w:rsidR="008F2029" w:rsidRDefault="00124221">
      <w:pPr>
        <w:ind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sz w:val="32"/>
          <w:szCs w:val="32"/>
        </w:rPr>
        <w:t>实验室文化</w:t>
      </w:r>
    </w:p>
    <w:p w:rsidR="008F2029" w:rsidRDefault="00124221">
      <w:pPr>
        <w:ind w:firstLineChars="200" w:firstLine="640"/>
        <w:rPr>
          <w:rFonts w:ascii="仿宋_GB2312" w:eastAsia="仿宋_GB2312"/>
          <w:sz w:val="32"/>
          <w:szCs w:val="32"/>
        </w:rPr>
      </w:pPr>
      <w:r>
        <w:rPr>
          <w:rFonts w:ascii="仿宋_GB2312" w:eastAsia="仿宋_GB2312" w:hint="eastAsia"/>
          <w:sz w:val="32"/>
          <w:szCs w:val="32"/>
        </w:rPr>
        <w:t>具有积极创新、良好协作、学术民主、宽容失败的创新文化，具备宽松民主、潜心研究的学术环境，注重学风建设。</w:t>
      </w:r>
    </w:p>
    <w:p w:rsidR="008F2029" w:rsidRDefault="008F2029">
      <w:pPr>
        <w:ind w:firstLineChars="200" w:firstLine="640"/>
        <w:rPr>
          <w:rFonts w:ascii="仿宋_GB2312" w:eastAsia="仿宋_GB2312"/>
          <w:sz w:val="32"/>
          <w:szCs w:val="32"/>
        </w:rPr>
      </w:pPr>
    </w:p>
    <w:p w:rsidR="008F2029" w:rsidRDefault="008F2029"/>
    <w:sectPr w:rsidR="008F20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221" w:rsidRDefault="00124221">
      <w:r>
        <w:separator/>
      </w:r>
    </w:p>
  </w:endnote>
  <w:endnote w:type="continuationSeparator" w:id="0">
    <w:p w:rsidR="00124221" w:rsidRDefault="0012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420854"/>
      <w:docPartObj>
        <w:docPartGallery w:val="AutoText"/>
      </w:docPartObj>
    </w:sdtPr>
    <w:sdtEndPr/>
    <w:sdtContent>
      <w:p w:rsidR="008F2029" w:rsidRDefault="00124221">
        <w:pPr>
          <w:pStyle w:val="a3"/>
          <w:jc w:val="center"/>
        </w:pPr>
        <w:r>
          <w:fldChar w:fldCharType="begin"/>
        </w:r>
        <w:r>
          <w:instrText>PAGE   \* MERGEFORMAT</w:instrText>
        </w:r>
        <w:r>
          <w:fldChar w:fldCharType="separate"/>
        </w:r>
        <w:r w:rsidR="00814637" w:rsidRPr="00814637">
          <w:rPr>
            <w:noProof/>
            <w:lang w:val="zh-CN"/>
          </w:rPr>
          <w:t>5</w:t>
        </w:r>
        <w:r>
          <w:fldChar w:fldCharType="end"/>
        </w:r>
      </w:p>
    </w:sdtContent>
  </w:sdt>
  <w:p w:rsidR="008F2029" w:rsidRDefault="008F202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221" w:rsidRDefault="00124221">
      <w:r>
        <w:separator/>
      </w:r>
    </w:p>
  </w:footnote>
  <w:footnote w:type="continuationSeparator" w:id="0">
    <w:p w:rsidR="00124221" w:rsidRDefault="00124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26"/>
    <w:rsid w:val="00061D2E"/>
    <w:rsid w:val="00124221"/>
    <w:rsid w:val="00163091"/>
    <w:rsid w:val="003009C3"/>
    <w:rsid w:val="00387C5A"/>
    <w:rsid w:val="00400887"/>
    <w:rsid w:val="005135CC"/>
    <w:rsid w:val="006A262C"/>
    <w:rsid w:val="006D4E34"/>
    <w:rsid w:val="00814637"/>
    <w:rsid w:val="00816734"/>
    <w:rsid w:val="00843028"/>
    <w:rsid w:val="008B457D"/>
    <w:rsid w:val="008F2029"/>
    <w:rsid w:val="009550CC"/>
    <w:rsid w:val="00A44926"/>
    <w:rsid w:val="00A66414"/>
    <w:rsid w:val="00BF2C65"/>
    <w:rsid w:val="00C9534D"/>
    <w:rsid w:val="00D024D5"/>
    <w:rsid w:val="00E72D74"/>
    <w:rsid w:val="00EE7497"/>
    <w:rsid w:val="00EF26FA"/>
    <w:rsid w:val="00FC5F2F"/>
    <w:rsid w:val="0BE03E93"/>
    <w:rsid w:val="398F70B4"/>
    <w:rsid w:val="52DA4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3A3E5-1215-4F7C-AD7D-D9D1791F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304</Words>
  <Characters>1737</Characters>
  <Application>Microsoft Office Word</Application>
  <DocSecurity>0</DocSecurity>
  <Lines>14</Lines>
  <Paragraphs>4</Paragraphs>
  <ScaleCrop>false</ScaleCrop>
  <Company>Microsoft</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徐斌</dc:creator>
  <cp:lastModifiedBy>AutoBVT</cp:lastModifiedBy>
  <cp:revision>13</cp:revision>
  <dcterms:created xsi:type="dcterms:W3CDTF">2018-11-12T04:13:00Z</dcterms:created>
  <dcterms:modified xsi:type="dcterms:W3CDTF">2022-07-25T03:31:00Z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