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5</w:t>
      </w:r>
    </w:p>
    <w:p>
      <w:pPr>
        <w:rPr>
          <w:rFonts w:ascii="等线" w:hAnsi="等线" w:eastAsia="等线" w:cs="Times New Roman"/>
          <w:bCs/>
          <w:sz w:val="28"/>
          <w:szCs w:val="28"/>
        </w:rPr>
      </w:pPr>
    </w:p>
    <w:p>
      <w:pPr>
        <w:adjustRightInd w:val="0"/>
        <w:snapToGrid w:val="0"/>
        <w:jc w:val="center"/>
        <w:rPr>
          <w:rFonts w:ascii="黑体" w:hAnsi="黑体" w:eastAsia="黑体" w:cs="楷体"/>
          <w:bCs/>
          <w:sz w:val="40"/>
          <w:szCs w:val="40"/>
        </w:rPr>
      </w:pPr>
      <w:r>
        <w:rPr>
          <w:rFonts w:hint="eastAsia" w:ascii="黑体" w:hAnsi="黑体" w:eastAsia="黑体" w:cs="楷体"/>
          <w:bCs/>
          <w:sz w:val="40"/>
          <w:szCs w:val="40"/>
        </w:rPr>
        <w:t>X</w:t>
      </w:r>
      <w:r>
        <w:rPr>
          <w:rFonts w:ascii="黑体" w:hAnsi="黑体" w:eastAsia="黑体" w:cs="楷体"/>
          <w:bCs/>
          <w:sz w:val="40"/>
          <w:szCs w:val="40"/>
        </w:rPr>
        <w:t>X</w:t>
      </w:r>
      <w:r>
        <w:rPr>
          <w:rFonts w:hint="eastAsia" w:ascii="黑体" w:hAnsi="黑体" w:eastAsia="黑体" w:cs="楷体"/>
          <w:bCs/>
          <w:sz w:val="40"/>
          <w:szCs w:val="40"/>
        </w:rPr>
        <w:t>盟（市）企业研究开发费用</w:t>
      </w:r>
    </w:p>
    <w:p>
      <w:pPr>
        <w:adjustRightInd w:val="0"/>
        <w:snapToGrid w:val="0"/>
        <w:jc w:val="center"/>
        <w:rPr>
          <w:rFonts w:ascii="黑体" w:hAnsi="黑体" w:eastAsia="黑体" w:cs="楷体"/>
          <w:bCs/>
          <w:sz w:val="40"/>
          <w:szCs w:val="40"/>
        </w:rPr>
      </w:pPr>
      <w:r>
        <w:rPr>
          <w:rFonts w:hint="eastAsia" w:ascii="黑体" w:hAnsi="黑体" w:eastAsia="黑体" w:cs="楷体"/>
          <w:bCs/>
          <w:sz w:val="40"/>
          <w:szCs w:val="40"/>
        </w:rPr>
        <w:t>税前加计扣除项目鉴定</w:t>
      </w:r>
      <w:r>
        <w:rPr>
          <w:rFonts w:hint="eastAsia" w:ascii="黑体" w:hAnsi="黑体" w:eastAsia="黑体" w:cs="楷体"/>
          <w:sz w:val="40"/>
          <w:szCs w:val="40"/>
        </w:rPr>
        <w:t>意见书</w:t>
      </w:r>
    </w:p>
    <w:p>
      <w:pPr>
        <w:adjustRightInd w:val="0"/>
        <w:snapToGrid w:val="0"/>
        <w:jc w:val="center"/>
        <w:rPr>
          <w:rFonts w:ascii="黑体" w:hAnsi="黑体" w:eastAsia="黑体" w:cs="Times New Roman"/>
          <w:sz w:val="36"/>
          <w:szCs w:val="36"/>
        </w:rPr>
      </w:pPr>
    </w:p>
    <w:p>
      <w:pPr>
        <w:adjustRightInd w:val="0"/>
        <w:snapToGrid w:val="0"/>
        <w:jc w:val="center"/>
        <w:rPr>
          <w:rFonts w:ascii="黑体" w:hAnsi="黑体" w:eastAsia="黑体" w:cs="Times New Roman"/>
          <w:sz w:val="30"/>
          <w:szCs w:val="30"/>
        </w:rPr>
      </w:pPr>
      <w:r>
        <w:rPr>
          <w:rFonts w:hint="eastAsia" w:ascii="黑体" w:hAnsi="黑体" w:eastAsia="黑体" w:cs="Times New Roman"/>
          <w:sz w:val="30"/>
          <w:szCs w:val="30"/>
        </w:rPr>
        <w:t>（20xx年度）</w:t>
      </w: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宋体" w:eastAsia="楷体_GB2312" w:cs="Times New Roman"/>
          <w:b/>
          <w:sz w:val="36"/>
          <w:szCs w:val="36"/>
        </w:rPr>
      </w:pPr>
    </w:p>
    <w:p>
      <w:pPr>
        <w:adjustRightInd w:val="0"/>
        <w:snapToGrid w:val="0"/>
        <w:jc w:val="center"/>
        <w:rPr>
          <w:rFonts w:ascii="楷体_GB2312" w:hAnsi="等线" w:eastAsia="楷体_GB2312" w:cs="Times New Roman"/>
          <w:b/>
          <w:sz w:val="30"/>
          <w:szCs w:val="30"/>
        </w:rPr>
      </w:pPr>
    </w:p>
    <w:p>
      <w:pPr>
        <w:adjustRightInd w:val="0"/>
        <w:snapToGrid w:val="0"/>
        <w:jc w:val="center"/>
        <w:rPr>
          <w:rFonts w:ascii="楷体_GB2312" w:hAnsi="等线" w:eastAsia="楷体_GB2312" w:cs="Times New Roman"/>
          <w:b/>
          <w:sz w:val="30"/>
          <w:szCs w:val="30"/>
        </w:rPr>
      </w:pPr>
    </w:p>
    <w:p>
      <w:pPr>
        <w:adjustRightInd w:val="0"/>
        <w:snapToGrid w:val="0"/>
        <w:jc w:val="center"/>
        <w:rPr>
          <w:rFonts w:ascii="楷体_GB2312" w:hAnsi="等线" w:eastAsia="楷体_GB2312" w:cs="Times New Roman"/>
          <w:b/>
          <w:sz w:val="30"/>
          <w:szCs w:val="30"/>
        </w:rPr>
      </w:pPr>
    </w:p>
    <w:p>
      <w:pPr>
        <w:adjustRightInd w:val="0"/>
        <w:snapToGrid w:val="0"/>
        <w:jc w:val="center"/>
        <w:rPr>
          <w:rFonts w:ascii="楷体_GB2312" w:hAnsi="等线" w:eastAsia="楷体_GB2312" w:cs="Times New Roman"/>
          <w:b/>
          <w:sz w:val="30"/>
          <w:szCs w:val="30"/>
        </w:rPr>
      </w:pPr>
    </w:p>
    <w:p>
      <w:pPr>
        <w:adjustRightInd w:val="0"/>
        <w:snapToGrid w:val="0"/>
        <w:jc w:val="center"/>
        <w:rPr>
          <w:rFonts w:ascii="楷体_GB2312" w:hAnsi="等线" w:eastAsia="楷体_GB2312" w:cs="Times New Roman"/>
          <w:b/>
          <w:sz w:val="30"/>
          <w:szCs w:val="30"/>
        </w:rPr>
      </w:pPr>
    </w:p>
    <w:p>
      <w:pPr>
        <w:ind w:firstLine="2101" w:firstLineChars="700"/>
        <w:jc w:val="left"/>
        <w:rPr>
          <w:rFonts w:ascii="等线" w:hAnsi="等线" w:eastAsia="等线" w:cs="Times New Roman"/>
          <w:b/>
          <w:sz w:val="30"/>
          <w:szCs w:val="30"/>
        </w:rPr>
      </w:pPr>
      <w:r>
        <w:rPr>
          <w:rFonts w:hint="eastAsia" w:ascii="等线" w:hAnsi="等线" w:eastAsia="等线" w:cs="Times New Roman"/>
          <w:b/>
          <w:sz w:val="30"/>
          <w:szCs w:val="30"/>
        </w:rPr>
        <w:t>企业名称：</w:t>
      </w:r>
    </w:p>
    <w:p>
      <w:pPr>
        <w:ind w:firstLine="2101" w:firstLineChars="700"/>
        <w:jc w:val="left"/>
        <w:rPr>
          <w:rFonts w:ascii="等线" w:hAnsi="等线" w:eastAsia="等线" w:cs="Times New Roman"/>
          <w:b/>
          <w:sz w:val="30"/>
          <w:szCs w:val="30"/>
        </w:rPr>
      </w:pPr>
      <w:r>
        <w:rPr>
          <w:rFonts w:hint="eastAsia" w:ascii="等线" w:hAnsi="等线" w:eastAsia="等线" w:cs="Times New Roman"/>
          <w:b/>
          <w:sz w:val="30"/>
          <w:szCs w:val="30"/>
        </w:rPr>
        <w:t>主管税务部门：</w:t>
      </w:r>
    </w:p>
    <w:p>
      <w:pPr>
        <w:ind w:firstLine="2101" w:firstLineChars="700"/>
        <w:jc w:val="left"/>
        <w:rPr>
          <w:rFonts w:ascii="等线" w:hAnsi="等线" w:eastAsia="等线" w:cs="Times New Roman"/>
          <w:b/>
          <w:sz w:val="30"/>
          <w:szCs w:val="30"/>
        </w:rPr>
      </w:pPr>
      <w:r>
        <w:rPr>
          <w:rFonts w:hint="eastAsia" w:ascii="等线" w:hAnsi="等线" w:eastAsia="等线" w:cs="Times New Roman"/>
          <w:b/>
          <w:sz w:val="30"/>
          <w:szCs w:val="30"/>
        </w:rPr>
        <w:t>科技部门：</w:t>
      </w:r>
    </w:p>
    <w:p>
      <w:pPr>
        <w:adjustRightInd w:val="0"/>
        <w:snapToGrid w:val="0"/>
        <w:rPr>
          <w:rFonts w:ascii="等线" w:hAnsi="等线" w:eastAsia="等线" w:cs="Times New Roman"/>
          <w:sz w:val="30"/>
          <w:szCs w:val="30"/>
          <w:u w:val="single"/>
        </w:rPr>
      </w:pPr>
    </w:p>
    <w:p>
      <w:pPr>
        <w:adjustRightInd w:val="0"/>
        <w:snapToGrid w:val="0"/>
        <w:rPr>
          <w:rFonts w:ascii="等线" w:hAnsi="等线" w:eastAsia="等线" w:cs="Times New Roman"/>
          <w:b/>
          <w:sz w:val="30"/>
          <w:szCs w:val="30"/>
        </w:rPr>
      </w:pPr>
    </w:p>
    <w:p>
      <w:pPr>
        <w:adjustRightInd w:val="0"/>
        <w:snapToGrid w:val="0"/>
        <w:jc w:val="center"/>
        <w:rPr>
          <w:rFonts w:ascii="宋体" w:hAnsi="宋体" w:eastAsia="宋体" w:cs="Times New Roman"/>
          <w:b/>
          <w:sz w:val="30"/>
          <w:szCs w:val="30"/>
        </w:rPr>
      </w:pPr>
      <w:r>
        <w:rPr>
          <w:rFonts w:hint="eastAsia" w:ascii="宋体" w:hAnsi="宋体" w:eastAsia="宋体" w:cs="Times New Roman"/>
          <w:b/>
          <w:sz w:val="30"/>
          <w:szCs w:val="30"/>
        </w:rPr>
        <w:t>鉴定时间：20</w:t>
      </w:r>
      <w:r>
        <w:rPr>
          <w:rFonts w:ascii="宋体" w:hAnsi="宋体" w:eastAsia="宋体" w:cs="Times New Roman"/>
          <w:b/>
          <w:sz w:val="30"/>
          <w:szCs w:val="30"/>
        </w:rPr>
        <w:t xml:space="preserve">  </w:t>
      </w:r>
      <w:r>
        <w:rPr>
          <w:rFonts w:hint="eastAsia" w:ascii="宋体" w:hAnsi="宋体" w:eastAsia="宋体" w:cs="Times New Roman"/>
          <w:b/>
          <w:sz w:val="30"/>
          <w:szCs w:val="30"/>
        </w:rPr>
        <w:t>年  月  日</w:t>
      </w:r>
    </w:p>
    <w:p>
      <w:pPr>
        <w:adjustRightInd w:val="0"/>
        <w:snapToGrid w:val="0"/>
        <w:jc w:val="center"/>
        <w:rPr>
          <w:rFonts w:ascii="宋体" w:hAnsi="宋体" w:eastAsia="宋体" w:cs="Times New Roman"/>
          <w:b/>
          <w:sz w:val="30"/>
          <w:szCs w:val="30"/>
        </w:rPr>
      </w:pPr>
    </w:p>
    <w:p>
      <w:pPr>
        <w:adjustRightInd w:val="0"/>
        <w:snapToGrid w:val="0"/>
        <w:jc w:val="center"/>
        <w:rPr>
          <w:rFonts w:ascii="宋体" w:hAnsi="宋体" w:eastAsia="宋体" w:cs="Times New Roman"/>
          <w:b/>
          <w:sz w:val="30"/>
          <w:szCs w:val="30"/>
        </w:rPr>
      </w:pPr>
      <w:r>
        <w:rPr>
          <w:rFonts w:hint="eastAsia" w:ascii="宋体" w:hAnsi="宋体" w:eastAsia="宋体" w:cs="Times New Roman"/>
          <w:b/>
          <w:sz w:val="30"/>
          <w:szCs w:val="30"/>
        </w:rPr>
        <w:t>内蒙古自治区科学技术厅制</w:t>
      </w:r>
    </w:p>
    <w:p>
      <w:pPr>
        <w:adjustRightInd w:val="0"/>
        <w:snapToGrid w:val="0"/>
        <w:jc w:val="center"/>
        <w:rPr>
          <w:rFonts w:ascii="等线" w:hAnsi="等线" w:eastAsia="等线" w:cs="Times New Roman"/>
          <w:b/>
          <w:sz w:val="30"/>
          <w:szCs w:val="30"/>
        </w:rPr>
      </w:pPr>
    </w:p>
    <w:p>
      <w:pPr>
        <w:adjustRightInd w:val="0"/>
        <w:snapToGrid w:val="0"/>
        <w:jc w:val="center"/>
        <w:rPr>
          <w:rFonts w:ascii="等线" w:hAnsi="等线" w:eastAsia="等线" w:cs="Times New Roman"/>
          <w:b/>
          <w:sz w:val="30"/>
          <w:szCs w:val="30"/>
        </w:rPr>
      </w:pPr>
    </w:p>
    <w:p>
      <w:pPr>
        <w:adjustRightInd w:val="0"/>
        <w:snapToGrid w:val="0"/>
        <w:rPr>
          <w:rFonts w:ascii="等线" w:hAnsi="等线" w:eastAsia="等线" w:cs="Times New Roman"/>
          <w:b/>
          <w:bCs/>
          <w:sz w:val="30"/>
          <w:szCs w:val="30"/>
        </w:rPr>
      </w:pPr>
    </w:p>
    <w:p>
      <w:pPr>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说  明</w:t>
      </w:r>
    </w:p>
    <w:p>
      <w:pPr>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企业研究开发费用税前加计扣除项目鉴定范围：主管税务部门转请科技管理部门出具鉴定意见的项目。</w:t>
      </w:r>
    </w:p>
    <w:p>
      <w:pPr>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依据《财政部 国家税务总局 科学技术部关于完善研究开发费用税前加计扣除政策的通知》（财税〔2015〕119号），就项目以下内容进行鉴定。</w:t>
      </w:r>
    </w:p>
    <w:p>
      <w:pPr>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（一）项目是否属于“创造性运用科学技术新知识，或实质性改进技术、产品（服务）、工艺而持续进行的具有明确目标的系统性活动”研发活动；</w:t>
      </w:r>
    </w:p>
    <w:p>
      <w:pPr>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w:t>
      </w:r>
      <w:r>
        <w:rPr>
          <w:rFonts w:ascii="仿宋_GB2312" w:hAnsi="等线" w:eastAsia="仿宋_GB2312" w:cs="Times New Roman"/>
          <w:sz w:val="28"/>
          <w:szCs w:val="28"/>
        </w:rPr>
        <w:t>二）</w:t>
      </w:r>
      <w:r>
        <w:rPr>
          <w:rFonts w:hint="eastAsia" w:ascii="仿宋_GB2312" w:hAnsi="等线" w:eastAsia="仿宋_GB2312" w:cs="Times New Roman"/>
          <w:sz w:val="28"/>
          <w:szCs w:val="28"/>
        </w:rPr>
        <w:t>项目是否为不适用税前加计扣除政策的活动；</w:t>
      </w:r>
    </w:p>
    <w:p>
      <w:pPr>
        <w:widowControl/>
        <w:spacing w:line="600" w:lineRule="exact"/>
        <w:ind w:firstLine="560" w:firstLineChars="200"/>
        <w:jc w:val="left"/>
        <w:rPr>
          <w:rFonts w:ascii="仿宋_GB2312" w:hAnsi="等线" w:eastAsia="仿宋_GB2312" w:cs="Times New Roman"/>
          <w:sz w:val="28"/>
          <w:szCs w:val="28"/>
        </w:rPr>
      </w:pPr>
      <w:r>
        <w:rPr>
          <w:rFonts w:hint="eastAsia" w:ascii="仿宋_GB2312" w:hAnsi="等线" w:eastAsia="仿宋_GB2312" w:cs="Times New Roman"/>
          <w:sz w:val="28"/>
          <w:szCs w:val="28"/>
        </w:rPr>
        <w:t>（三）主管税务部门要求的其它事项。</w:t>
      </w:r>
    </w:p>
    <w:p>
      <w:pPr>
        <w:rPr>
          <w:rFonts w:ascii="等线" w:hAnsi="等线" w:eastAsia="等线"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 w:linePitch="312" w:charSpace="0"/>
        </w:sectPr>
      </w:pPr>
    </w:p>
    <w:p>
      <w:pPr>
        <w:adjustRightInd w:val="0"/>
        <w:snapToGrid w:val="0"/>
        <w:jc w:val="center"/>
        <w:outlineLvl w:val="0"/>
        <w:rPr>
          <w:rFonts w:ascii="黑体" w:hAnsi="黑体" w:eastAsia="黑体" w:cs="Times New Roman"/>
          <w:b/>
          <w:bCs/>
          <w:sz w:val="28"/>
          <w:szCs w:val="28"/>
        </w:rPr>
      </w:pPr>
      <w:r>
        <w:rPr>
          <w:rFonts w:hint="eastAsia" w:ascii="黑体" w:hAnsi="黑体" w:eastAsia="黑体" w:cs="Times New Roman"/>
          <w:bCs/>
          <w:sz w:val="28"/>
          <w:szCs w:val="28"/>
        </w:rPr>
        <w:t>内蒙古自治区企业研究开发费用税前加计扣除项目鉴定</w:t>
      </w:r>
      <w:r>
        <w:rPr>
          <w:rFonts w:hint="eastAsia" w:ascii="黑体" w:hAnsi="黑体" w:eastAsia="黑体" w:cs="Times New Roman"/>
          <w:sz w:val="28"/>
          <w:szCs w:val="28"/>
        </w:rPr>
        <w:t>意见书</w:t>
      </w:r>
    </w:p>
    <w:tbl>
      <w:tblPr>
        <w:tblStyle w:val="7"/>
        <w:tblW w:w="95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
        <w:gridCol w:w="1980"/>
        <w:gridCol w:w="7435"/>
        <w:gridCol w:w="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91" w:type="dxa"/>
          <w:jc w:val="center"/>
        </w:trPr>
        <w:tc>
          <w:tcPr>
            <w:tcW w:w="1980" w:type="dxa"/>
            <w:vAlign w:val="center"/>
          </w:tcPr>
          <w:p>
            <w:pPr>
              <w:adjustRightInd w:val="0"/>
              <w:snapToGrid w:val="0"/>
              <w:spacing w:after="46" w:afterLines="15" w:line="360" w:lineRule="exact"/>
              <w:jc w:val="distribute"/>
              <w:rPr>
                <w:rFonts w:ascii="等线" w:hAnsi="等线" w:eastAsia="等线" w:cs="Times New Roman"/>
              </w:rPr>
            </w:pPr>
            <w:r>
              <w:rPr>
                <w:rFonts w:hint="eastAsia" w:ascii="等线" w:hAnsi="等线" w:eastAsia="等线" w:cs="Times New Roman"/>
              </w:rPr>
              <w:t>项目名称</w:t>
            </w:r>
          </w:p>
        </w:tc>
        <w:tc>
          <w:tcPr>
            <w:tcW w:w="7435" w:type="dxa"/>
            <w:vAlign w:val="center"/>
          </w:tcPr>
          <w:p>
            <w:pPr>
              <w:adjustRightInd w:val="0"/>
              <w:snapToGrid w:val="0"/>
              <w:spacing w:after="46" w:afterLines="15" w:line="360" w:lineRule="exact"/>
              <w:rPr>
                <w:rFonts w:ascii="宋体" w:hAnsi="宋体" w:eastAsia="等线"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91" w:type="dxa"/>
          <w:jc w:val="center"/>
        </w:trPr>
        <w:tc>
          <w:tcPr>
            <w:tcW w:w="1980" w:type="dxa"/>
            <w:vAlign w:val="center"/>
          </w:tcPr>
          <w:p>
            <w:pPr>
              <w:adjustRightInd w:val="0"/>
              <w:snapToGrid w:val="0"/>
              <w:spacing w:after="46" w:afterLines="15" w:line="360" w:lineRule="exact"/>
              <w:jc w:val="distribute"/>
              <w:rPr>
                <w:rFonts w:ascii="等线" w:hAnsi="等线" w:eastAsia="等线" w:cs="Times New Roman"/>
              </w:rPr>
            </w:pPr>
            <w:r>
              <w:rPr>
                <w:rFonts w:hint="eastAsia" w:ascii="等线" w:hAnsi="等线" w:eastAsia="等线" w:cs="Times New Roman"/>
              </w:rPr>
              <w:t>实施单位</w:t>
            </w:r>
          </w:p>
        </w:tc>
        <w:tc>
          <w:tcPr>
            <w:tcW w:w="7435" w:type="dxa"/>
            <w:vAlign w:val="center"/>
          </w:tcPr>
          <w:p>
            <w:pPr>
              <w:adjustRightInd w:val="0"/>
              <w:snapToGrid w:val="0"/>
              <w:spacing w:after="46" w:afterLines="15" w:line="360" w:lineRule="exact"/>
              <w:rPr>
                <w:rFonts w:ascii="等线" w:hAnsi="等线" w:eastAsia="等线"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91" w:type="dxa"/>
          <w:jc w:val="center"/>
        </w:trPr>
        <w:tc>
          <w:tcPr>
            <w:tcW w:w="1980" w:type="dxa"/>
            <w:vAlign w:val="center"/>
          </w:tcPr>
          <w:p>
            <w:pPr>
              <w:adjustRightInd w:val="0"/>
              <w:snapToGrid w:val="0"/>
              <w:spacing w:after="46" w:afterLines="15" w:line="360" w:lineRule="exact"/>
              <w:jc w:val="distribute"/>
              <w:rPr>
                <w:rFonts w:ascii="等线" w:hAnsi="等线" w:eastAsia="等线" w:cs="Times New Roman"/>
              </w:rPr>
            </w:pPr>
            <w:r>
              <w:rPr>
                <w:rFonts w:hint="eastAsia" w:ascii="等线" w:hAnsi="等线" w:eastAsia="等线" w:cs="Times New Roman"/>
              </w:rPr>
              <w:t>项目起始时间</w:t>
            </w:r>
          </w:p>
        </w:tc>
        <w:tc>
          <w:tcPr>
            <w:tcW w:w="7435" w:type="dxa"/>
            <w:vAlign w:val="center"/>
          </w:tcPr>
          <w:p>
            <w:pPr>
              <w:rPr>
                <w:rFonts w:ascii="宋体" w:hAnsi="宋体" w:eastAsia="等线"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91" w:type="dxa"/>
          <w:trHeight w:val="10687" w:hRule="atLeast"/>
          <w:jc w:val="center"/>
        </w:trPr>
        <w:tc>
          <w:tcPr>
            <w:tcW w:w="9415" w:type="dxa"/>
            <w:gridSpan w:val="2"/>
          </w:tcPr>
          <w:p>
            <w:pPr>
              <w:spacing w:line="360" w:lineRule="auto"/>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根据财税〔2015〕119号文件要求，科技、财政、税务部门组织专家对×</w:t>
            </w:r>
            <w:r>
              <w:rPr>
                <w:rFonts w:ascii="仿宋_GB2312" w:hAnsi="等线" w:eastAsia="仿宋_GB2312" w:cs="Times New Roman"/>
                <w:sz w:val="28"/>
                <w:szCs w:val="28"/>
              </w:rPr>
              <w:t>×</w:t>
            </w:r>
            <w:r>
              <w:rPr>
                <w:rFonts w:hint="eastAsia" w:ascii="仿宋_GB2312" w:hAnsi="等线" w:eastAsia="仿宋_GB2312" w:cs="Times New Roman"/>
                <w:sz w:val="28"/>
                <w:szCs w:val="28"/>
              </w:rPr>
              <w:t>企业×</w:t>
            </w:r>
            <w:r>
              <w:rPr>
                <w:rFonts w:ascii="仿宋_GB2312" w:hAnsi="等线" w:eastAsia="仿宋_GB2312" w:cs="Times New Roman"/>
                <w:sz w:val="28"/>
                <w:szCs w:val="28"/>
              </w:rPr>
              <w:t>×</w:t>
            </w:r>
            <w:r>
              <w:rPr>
                <w:rFonts w:hint="eastAsia" w:ascii="仿宋_GB2312" w:hAnsi="等线" w:eastAsia="仿宋_GB2312" w:cs="Times New Roman"/>
                <w:sz w:val="28"/>
                <w:szCs w:val="28"/>
              </w:rPr>
              <w:t>项目进行了鉴定，鉴定意见如下：</w:t>
            </w:r>
          </w:p>
          <w:p>
            <w:pPr>
              <w:spacing w:line="360" w:lineRule="auto"/>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1.企业提交的项目鉴定资料齐全。</w:t>
            </w:r>
          </w:p>
          <w:p>
            <w:pPr>
              <w:spacing w:line="360" w:lineRule="auto"/>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2.（</w:t>
            </w:r>
            <w:r>
              <w:rPr>
                <w:rFonts w:ascii="仿宋_GB2312" w:hAnsi="等线" w:eastAsia="仿宋_GB2312" w:cs="Times New Roman"/>
                <w:sz w:val="28"/>
                <w:szCs w:val="28"/>
              </w:rPr>
              <w:t>通过</w:t>
            </w:r>
            <w:r>
              <w:rPr>
                <w:rFonts w:hint="eastAsia" w:ascii="仿宋_GB2312" w:hAnsi="等线" w:eastAsia="仿宋_GB2312" w:cs="Times New Roman"/>
                <w:sz w:val="28"/>
                <w:szCs w:val="28"/>
              </w:rPr>
              <w:t>鉴定</w:t>
            </w:r>
            <w:r>
              <w:rPr>
                <w:rFonts w:ascii="仿宋_GB2312" w:hAnsi="等线" w:eastAsia="仿宋_GB2312" w:cs="Times New Roman"/>
                <w:sz w:val="28"/>
                <w:szCs w:val="28"/>
              </w:rPr>
              <w:t>情形）</w:t>
            </w:r>
            <w:r>
              <w:rPr>
                <w:rFonts w:hint="eastAsia" w:ascii="仿宋_GB2312" w:hAnsi="等线" w:eastAsia="仿宋_GB2312" w:cs="Times New Roman"/>
                <w:sz w:val="28"/>
                <w:szCs w:val="28"/>
              </w:rPr>
              <w:t>项目针对×</w:t>
            </w:r>
            <w:r>
              <w:rPr>
                <w:rFonts w:ascii="仿宋_GB2312" w:hAnsi="等线" w:eastAsia="仿宋_GB2312" w:cs="Times New Roman"/>
                <w:sz w:val="28"/>
                <w:szCs w:val="28"/>
              </w:rPr>
              <w:t>×</w:t>
            </w:r>
            <w:r>
              <w:rPr>
                <w:rFonts w:hint="eastAsia" w:ascii="仿宋_GB2312" w:hAnsi="等线" w:eastAsia="仿宋_GB2312" w:cs="Times New Roman"/>
                <w:sz w:val="28"/>
                <w:szCs w:val="28"/>
              </w:rPr>
              <w:t>等技术需求，开展了×</w:t>
            </w:r>
            <w:r>
              <w:rPr>
                <w:rFonts w:ascii="仿宋_GB2312" w:hAnsi="等线" w:eastAsia="仿宋_GB2312" w:cs="Times New Roman"/>
                <w:sz w:val="28"/>
                <w:szCs w:val="28"/>
              </w:rPr>
              <w:t>×</w:t>
            </w:r>
            <w:r>
              <w:rPr>
                <w:rFonts w:hint="eastAsia" w:ascii="仿宋_GB2312" w:hAnsi="等线" w:eastAsia="仿宋_GB2312" w:cs="Times New Roman"/>
                <w:sz w:val="28"/>
                <w:szCs w:val="28"/>
              </w:rPr>
              <w:t>等关键技术研究，属于财税〔2015〕119号文件“创造性运用科学技术新知识，或实质性改进技术、产品（服务）、工艺而持续进行的具有明确目标的系统性活动”研发活动。</w:t>
            </w:r>
          </w:p>
          <w:p>
            <w:pPr>
              <w:spacing w:line="560" w:lineRule="exact"/>
              <w:ind w:firstLine="560" w:firstLineChars="200"/>
              <w:rPr>
                <w:rFonts w:ascii="仿宋_GB2312" w:hAnsi="等线" w:eastAsia="仿宋_GB2312" w:cs="Times New Roman"/>
                <w:sz w:val="28"/>
                <w:szCs w:val="28"/>
              </w:rPr>
            </w:pPr>
            <w:r>
              <w:rPr>
                <w:rFonts w:ascii="仿宋_GB2312" w:hAnsi="等线" w:eastAsia="仿宋_GB2312" w:cs="Times New Roman"/>
                <w:sz w:val="28"/>
                <w:szCs w:val="28"/>
              </w:rPr>
              <w:t>3.</w:t>
            </w:r>
            <w:r>
              <w:rPr>
                <w:rFonts w:hint="eastAsia" w:ascii="仿宋_GB2312" w:hAnsi="等线" w:eastAsia="仿宋_GB2312" w:cs="Times New Roman"/>
                <w:sz w:val="28"/>
                <w:szCs w:val="28"/>
              </w:rPr>
              <w:t>（</w:t>
            </w:r>
            <w:r>
              <w:rPr>
                <w:rFonts w:ascii="仿宋_GB2312" w:hAnsi="等线" w:eastAsia="仿宋_GB2312" w:cs="Times New Roman"/>
                <w:sz w:val="28"/>
                <w:szCs w:val="28"/>
              </w:rPr>
              <w:t>不通过鉴定情形）</w:t>
            </w:r>
            <w:r>
              <w:rPr>
                <w:rFonts w:hint="eastAsia" w:ascii="仿宋_GB2312" w:hAnsi="等线" w:eastAsia="仿宋_GB2312" w:cs="Times New Roman"/>
                <w:sz w:val="28"/>
                <w:szCs w:val="28"/>
              </w:rPr>
              <w:t>项目属于×</w:t>
            </w:r>
            <w:r>
              <w:rPr>
                <w:rFonts w:ascii="仿宋_GB2312" w:hAnsi="等线" w:eastAsia="仿宋_GB2312" w:cs="Times New Roman"/>
                <w:sz w:val="28"/>
                <w:szCs w:val="28"/>
              </w:rPr>
              <w:t>×</w:t>
            </w:r>
            <w:r>
              <w:rPr>
                <w:rFonts w:hint="eastAsia" w:ascii="仿宋_GB2312" w:hAnsi="等线" w:eastAsia="仿宋_GB2312" w:cs="Times New Roman"/>
                <w:sz w:val="28"/>
                <w:szCs w:val="28"/>
              </w:rPr>
              <w:t>，是财税〔2015〕119号文件中不适用税前加计扣除政策的活动。</w:t>
            </w:r>
          </w:p>
          <w:p>
            <w:pPr>
              <w:spacing w:line="560" w:lineRule="exact"/>
              <w:rPr>
                <w:rFonts w:ascii="仿宋_GB2312" w:hAnsi="等线" w:eastAsia="仿宋_GB2312" w:cs="Times New Roman"/>
                <w:sz w:val="28"/>
                <w:szCs w:val="28"/>
              </w:rPr>
            </w:pPr>
          </w:p>
          <w:p>
            <w:pPr>
              <w:spacing w:line="560" w:lineRule="exact"/>
              <w:rPr>
                <w:rFonts w:ascii="仿宋_GB2312" w:hAnsi="等线" w:eastAsia="仿宋_GB2312" w:cs="Times New Roman"/>
                <w:sz w:val="28"/>
                <w:szCs w:val="28"/>
              </w:rPr>
            </w:pPr>
          </w:p>
          <w:p>
            <w:pPr>
              <w:spacing w:line="560" w:lineRule="exact"/>
              <w:rPr>
                <w:rFonts w:ascii="仿宋_GB2312" w:hAnsi="等线" w:eastAsia="仿宋_GB2312" w:cs="Times New Roman"/>
                <w:sz w:val="28"/>
                <w:szCs w:val="28"/>
              </w:rPr>
            </w:pPr>
          </w:p>
          <w:p>
            <w:pPr>
              <w:spacing w:line="560" w:lineRule="exact"/>
              <w:ind w:right="480" w:firstLine="5880" w:firstLineChars="2450"/>
              <w:rPr>
                <w:rFonts w:ascii="仿宋_GB2312" w:hAnsi="等线" w:eastAsia="仿宋_GB2312" w:cs="Times New Roman"/>
                <w:sz w:val="24"/>
                <w:szCs w:val="24"/>
              </w:rPr>
            </w:pPr>
            <w:r>
              <w:rPr>
                <w:rFonts w:hint="eastAsia" w:ascii="仿宋_GB2312" w:hAnsi="等线" w:eastAsia="仿宋_GB2312" w:cs="Times New Roman"/>
                <w:sz w:val="24"/>
                <w:szCs w:val="24"/>
              </w:rPr>
              <w:t>专家组组长签字：</w:t>
            </w:r>
          </w:p>
          <w:p>
            <w:pPr>
              <w:spacing w:line="560" w:lineRule="exact"/>
              <w:ind w:right="480"/>
              <w:rPr>
                <w:rFonts w:ascii="仿宋_GB2312" w:hAnsi="等线" w:eastAsia="仿宋_GB2312" w:cs="Times New Roman"/>
                <w:sz w:val="24"/>
                <w:szCs w:val="24"/>
              </w:rPr>
            </w:pPr>
          </w:p>
          <w:p>
            <w:pPr>
              <w:spacing w:line="560" w:lineRule="exact"/>
              <w:ind w:right="480"/>
              <w:rPr>
                <w:rFonts w:ascii="仿宋_GB2312" w:hAnsi="等线"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516" w:type="dxa"/>
            <w:gridSpan w:val="4"/>
          </w:tcPr>
          <w:p>
            <w:pPr>
              <w:spacing w:before="156" w:beforeLines="50" w:after="156" w:afterLines="50"/>
              <w:jc w:val="center"/>
              <w:rPr>
                <w:rFonts w:ascii="黑体" w:hAnsi="黑体" w:eastAsia="黑体" w:cs="Times New Roman"/>
              </w:rPr>
            </w:pPr>
            <w:r>
              <w:rPr>
                <w:rFonts w:hint="eastAsia" w:ascii="黑体" w:hAnsi="黑体" w:eastAsia="黑体" w:cs="Times New Roman"/>
                <w:sz w:val="32"/>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516" w:type="dxa"/>
            <w:gridSpan w:val="4"/>
          </w:tcPr>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我局依据《财政部、国家税务总局、科学技术部关于完善研究开发费用税前加计扣除政策的通知》（财税〔2015〕119号），组织相关专家对20</w:t>
            </w:r>
            <w:r>
              <w:rPr>
                <w:rFonts w:ascii="仿宋_GB2312" w:hAnsi="等线" w:eastAsia="仿宋_GB2312" w:cs="Times New Roman"/>
                <w:sz w:val="28"/>
              </w:rPr>
              <w:t xml:space="preserve">  </w:t>
            </w:r>
            <w:r>
              <w:rPr>
                <w:rFonts w:hint="eastAsia" w:ascii="仿宋_GB2312" w:hAnsi="等线" w:eastAsia="仿宋_GB2312" w:cs="Times New Roman"/>
                <w:sz w:val="28"/>
              </w:rPr>
              <w:t>年度           （</w:t>
            </w:r>
            <w:r>
              <w:rPr>
                <w:rFonts w:ascii="仿宋_GB2312" w:hAnsi="等线" w:eastAsia="仿宋_GB2312" w:cs="Times New Roman"/>
                <w:sz w:val="28"/>
              </w:rPr>
              <w:t>企业</w:t>
            </w:r>
            <w:r>
              <w:rPr>
                <w:rFonts w:hint="eastAsia" w:ascii="仿宋_GB2312" w:hAnsi="等线" w:eastAsia="仿宋_GB2312" w:cs="Times New Roman"/>
                <w:sz w:val="28"/>
              </w:rPr>
              <w:t>）提出申请鉴定的各项目进行了企业研究开发费用税前加计扣除项目鉴定。</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（一</w:t>
            </w:r>
            <w:r>
              <w:rPr>
                <w:rFonts w:ascii="仿宋_GB2312" w:hAnsi="等线" w:eastAsia="仿宋_GB2312" w:cs="Times New Roman"/>
                <w:sz w:val="28"/>
              </w:rPr>
              <w:t>）</w:t>
            </w:r>
            <w:r>
              <w:rPr>
                <w:rFonts w:hint="eastAsia" w:ascii="仿宋_GB2312" w:hAnsi="等线" w:eastAsia="仿宋_GB2312" w:cs="Times New Roman"/>
                <w:sz w:val="28"/>
              </w:rPr>
              <w:t>项目名称为：</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1.xxxx</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2.xxxx</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审核意见如下：</w:t>
            </w:r>
          </w:p>
          <w:p>
            <w:pPr>
              <w:spacing w:line="500" w:lineRule="exact"/>
              <w:ind w:firstLine="560" w:firstLineChars="200"/>
              <w:rPr>
                <w:rFonts w:ascii="仿宋_GB2312" w:hAnsi="等线" w:eastAsia="仿宋_GB2312" w:cs="Times New Roman"/>
                <w:sz w:val="28"/>
              </w:rPr>
            </w:pPr>
            <w:r>
              <w:rPr>
                <w:rFonts w:hint="eastAsia" w:ascii="仿宋_GB2312" w:hAnsi="等线" w:eastAsia="仿宋_GB2312" w:cs="Times New Roman"/>
                <w:sz w:val="28"/>
              </w:rPr>
              <w:t>1.项目研发活动属于创造性运用科学技术新知识，或实质性改进技术、产品（服务）、工艺而持续进行的具有明确目标的系统性活动，符合《财政部、国家税务总局、科学技术部关于完善研究开发费用税前加计扣除政策的通知》（财税〔2015〕119号）规定的要求；</w:t>
            </w:r>
          </w:p>
          <w:p>
            <w:pPr>
              <w:spacing w:line="500" w:lineRule="exact"/>
              <w:ind w:firstLine="560" w:firstLineChars="200"/>
              <w:rPr>
                <w:rFonts w:ascii="仿宋_GB2312" w:hAnsi="等线" w:eastAsia="仿宋_GB2312" w:cs="Times New Roman"/>
                <w:sz w:val="28"/>
              </w:rPr>
            </w:pPr>
            <w:r>
              <w:rPr>
                <w:rFonts w:ascii="仿宋_GB2312" w:hAnsi="等线" w:eastAsia="仿宋_GB2312" w:cs="Times New Roman"/>
                <w:sz w:val="28"/>
              </w:rPr>
              <w:t>2</w:t>
            </w:r>
            <w:r>
              <w:rPr>
                <w:rFonts w:hint="eastAsia" w:ascii="仿宋_GB2312" w:hAnsi="等线" w:eastAsia="仿宋_GB2312" w:cs="Times New Roman"/>
                <w:sz w:val="28"/>
              </w:rPr>
              <w:t>.同意专家组鉴定意见。</w:t>
            </w:r>
          </w:p>
          <w:p>
            <w:pPr>
              <w:spacing w:line="500" w:lineRule="exact"/>
              <w:ind w:firstLine="560" w:firstLineChars="200"/>
              <w:rPr>
                <w:rFonts w:ascii="仿宋_GB2312" w:hAnsi="等线" w:eastAsia="仿宋_GB2312" w:cs="Times New Roman"/>
                <w:sz w:val="28"/>
              </w:rPr>
            </w:pPr>
            <w:r>
              <w:rPr>
                <w:rFonts w:hint="eastAsia" w:ascii="仿宋_GB2312" w:hAnsi="等线" w:eastAsia="仿宋_GB2312" w:cs="Times New Roman"/>
                <w:sz w:val="28"/>
              </w:rPr>
              <w:t>（二</w:t>
            </w:r>
            <w:r>
              <w:rPr>
                <w:rFonts w:ascii="仿宋_GB2312" w:hAnsi="等线" w:eastAsia="仿宋_GB2312" w:cs="Times New Roman"/>
                <w:sz w:val="28"/>
              </w:rPr>
              <w:t>）</w:t>
            </w:r>
            <w:r>
              <w:rPr>
                <w:rFonts w:hint="eastAsia" w:ascii="仿宋_GB2312" w:hAnsi="等线" w:eastAsia="仿宋_GB2312" w:cs="Times New Roman"/>
                <w:sz w:val="28"/>
              </w:rPr>
              <w:t>项目名称为：</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1.xxxx</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2.xxxx</w:t>
            </w:r>
          </w:p>
          <w:p>
            <w:pPr>
              <w:adjustRightInd w:val="0"/>
              <w:snapToGrid w:val="0"/>
              <w:spacing w:before="156" w:beforeLines="50" w:line="500" w:lineRule="exact"/>
              <w:ind w:right="17" w:firstLine="560" w:firstLineChars="200"/>
              <w:rPr>
                <w:rFonts w:ascii="仿宋_GB2312" w:hAnsi="等线" w:eastAsia="仿宋_GB2312" w:cs="Times New Roman"/>
                <w:sz w:val="28"/>
              </w:rPr>
            </w:pPr>
            <w:r>
              <w:rPr>
                <w:rFonts w:hint="eastAsia" w:ascii="仿宋_GB2312" w:hAnsi="等线" w:eastAsia="仿宋_GB2312" w:cs="Times New Roman"/>
                <w:sz w:val="28"/>
              </w:rPr>
              <w:t>审核意见如下：</w:t>
            </w:r>
          </w:p>
          <w:p>
            <w:pPr>
              <w:spacing w:line="500" w:lineRule="exact"/>
              <w:ind w:firstLine="560" w:firstLineChars="200"/>
              <w:rPr>
                <w:rFonts w:ascii="仿宋_GB2312" w:hAnsi="等线" w:eastAsia="仿宋_GB2312" w:cs="Times New Roman"/>
                <w:sz w:val="28"/>
                <w:szCs w:val="28"/>
              </w:rPr>
            </w:pPr>
            <w:r>
              <w:rPr>
                <w:rFonts w:hint="eastAsia" w:ascii="仿宋_GB2312" w:hAnsi="等线" w:eastAsia="仿宋_GB2312" w:cs="Times New Roman"/>
                <w:sz w:val="28"/>
                <w:szCs w:val="28"/>
              </w:rPr>
              <w:t>1.项目属于×</w:t>
            </w:r>
            <w:r>
              <w:rPr>
                <w:rFonts w:ascii="仿宋_GB2312" w:hAnsi="等线" w:eastAsia="仿宋_GB2312" w:cs="Times New Roman"/>
                <w:sz w:val="28"/>
                <w:szCs w:val="28"/>
              </w:rPr>
              <w:t>×</w:t>
            </w:r>
            <w:r>
              <w:rPr>
                <w:rFonts w:hint="eastAsia" w:ascii="仿宋_GB2312" w:hAnsi="等线" w:eastAsia="仿宋_GB2312" w:cs="Times New Roman"/>
                <w:sz w:val="28"/>
                <w:szCs w:val="28"/>
              </w:rPr>
              <w:t>，不</w:t>
            </w:r>
            <w:r>
              <w:rPr>
                <w:rFonts w:hint="eastAsia" w:ascii="仿宋_GB2312" w:hAnsi="等线" w:eastAsia="仿宋_GB2312" w:cs="Times New Roman"/>
                <w:sz w:val="28"/>
              </w:rPr>
              <w:t>符合《财政部、国家税务总局、科学技术部关于完善研开发费用税前加计扣除政策的通知》（财税〔2015〕119号）规定的要求</w:t>
            </w:r>
            <w:r>
              <w:rPr>
                <w:rFonts w:hint="eastAsia" w:ascii="仿宋_GB2312" w:hAnsi="等线" w:eastAsia="仿宋_GB2312" w:cs="Times New Roman"/>
                <w:sz w:val="28"/>
                <w:szCs w:val="28"/>
              </w:rPr>
              <w:t>。</w:t>
            </w:r>
          </w:p>
          <w:p>
            <w:pPr>
              <w:spacing w:line="500" w:lineRule="exact"/>
              <w:ind w:firstLine="560" w:firstLineChars="200"/>
              <w:rPr>
                <w:rFonts w:ascii="仿宋_GB2312" w:hAnsi="等线" w:eastAsia="仿宋_GB2312" w:cs="Times New Roman"/>
                <w:sz w:val="28"/>
              </w:rPr>
            </w:pPr>
            <w:r>
              <w:rPr>
                <w:rFonts w:ascii="仿宋_GB2312" w:hAnsi="等线" w:eastAsia="仿宋_GB2312" w:cs="Times New Roman"/>
                <w:sz w:val="28"/>
              </w:rPr>
              <w:t>2</w:t>
            </w:r>
            <w:r>
              <w:rPr>
                <w:rFonts w:hint="eastAsia" w:ascii="仿宋_GB2312" w:hAnsi="等线" w:eastAsia="仿宋_GB2312" w:cs="Times New Roman"/>
                <w:sz w:val="28"/>
              </w:rPr>
              <w:t>.同意专家组鉴定意见。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9516" w:type="dxa"/>
            <w:gridSpan w:val="4"/>
          </w:tcPr>
          <w:p>
            <w:pPr>
              <w:ind w:right="1120"/>
              <w:jc w:val="left"/>
              <w:rPr>
                <w:rFonts w:ascii="仿宋_GB2312" w:hAnsi="仿宋_GB2312" w:eastAsia="仿宋_GB2312" w:cs="Times New Roman"/>
                <w:sz w:val="24"/>
              </w:rPr>
            </w:pPr>
          </w:p>
          <w:p>
            <w:pPr>
              <w:ind w:right="1120"/>
              <w:jc w:val="left"/>
              <w:rPr>
                <w:rFonts w:ascii="仿宋_GB2312" w:hAnsi="仿宋_GB2312" w:eastAsia="仿宋_GB2312" w:cs="Times New Roman"/>
                <w:sz w:val="24"/>
              </w:rPr>
            </w:pPr>
            <w:r>
              <w:rPr>
                <w:rFonts w:hint="eastAsia" w:ascii="仿宋_GB2312" w:hAnsi="仿宋_GB2312" w:eastAsia="仿宋_GB2312" w:cs="Times New Roman"/>
                <w:sz w:val="24"/>
              </w:rPr>
              <w:t>主管业务科室签字：</w:t>
            </w:r>
          </w:p>
          <w:p>
            <w:pPr>
              <w:ind w:right="1120"/>
              <w:jc w:val="left"/>
              <w:rPr>
                <w:rFonts w:ascii="仿宋_GB2312" w:hAnsi="仿宋_GB2312" w:eastAsia="仿宋_GB2312" w:cs="Times New Roman"/>
                <w:sz w:val="24"/>
              </w:rPr>
            </w:pPr>
          </w:p>
          <w:p>
            <w:pPr>
              <w:ind w:right="1120"/>
              <w:jc w:val="left"/>
              <w:rPr>
                <w:rFonts w:ascii="仿宋_GB2312" w:hAnsi="仿宋_GB2312" w:eastAsia="仿宋_GB2312" w:cs="Times New Roman"/>
                <w:sz w:val="24"/>
              </w:rPr>
            </w:pPr>
          </w:p>
          <w:p>
            <w:pPr>
              <w:ind w:right="1120"/>
              <w:jc w:val="left"/>
              <w:rPr>
                <w:rFonts w:ascii="仿宋_GB2312" w:hAnsi="仿宋_GB2312" w:eastAsia="仿宋_GB2312" w:cs="Times New Roman"/>
                <w:sz w:val="24"/>
              </w:rPr>
            </w:pPr>
          </w:p>
          <w:p>
            <w:pPr>
              <w:ind w:right="840"/>
              <w:rPr>
                <w:rFonts w:ascii="仿宋_GB2312" w:hAnsi="仿宋_GB2312" w:eastAsia="仿宋_GB2312" w:cs="Times New Roman"/>
                <w:sz w:val="24"/>
              </w:rPr>
            </w:pPr>
          </w:p>
          <w:p>
            <w:pPr>
              <w:ind w:right="840" w:firstLine="6360" w:firstLineChars="2650"/>
              <w:rPr>
                <w:rFonts w:ascii="仿宋_GB2312" w:hAnsi="仿宋_GB2312" w:eastAsia="仿宋_GB2312" w:cs="Times New Roman"/>
                <w:sz w:val="24"/>
              </w:rPr>
            </w:pPr>
            <w:r>
              <w:rPr>
                <w:rFonts w:hint="eastAsia" w:ascii="仿宋_GB2312" w:hAnsi="仿宋_GB2312" w:eastAsia="仿宋_GB2312" w:cs="Times New Roman"/>
                <w:sz w:val="24"/>
              </w:rPr>
              <w:t>（公章）</w:t>
            </w:r>
          </w:p>
          <w:p>
            <w:pPr>
              <w:ind w:right="840" w:firstLine="6360" w:firstLineChars="2650"/>
              <w:rPr>
                <w:rFonts w:ascii="仿宋_GB2312" w:hAnsi="仿宋_GB2312" w:eastAsia="仿宋_GB2312" w:cs="Times New Roman"/>
                <w:sz w:val="24"/>
              </w:rPr>
            </w:pPr>
          </w:p>
          <w:p>
            <w:pPr>
              <w:ind w:right="840" w:firstLine="5400" w:firstLineChars="2250"/>
              <w:rPr>
                <w:rFonts w:ascii="仿宋_GB2312" w:hAnsi="仿宋_GB2312" w:eastAsia="仿宋_GB2312" w:cs="Times New Roman"/>
                <w:sz w:val="24"/>
              </w:rPr>
            </w:pPr>
            <w:r>
              <w:rPr>
                <w:rFonts w:hint="eastAsia" w:ascii="仿宋_GB2312" w:hAnsi="仿宋_GB2312" w:eastAsia="仿宋_GB2312"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9516" w:type="dxa"/>
            <w:gridSpan w:val="4"/>
          </w:tcPr>
          <w:p>
            <w:pPr>
              <w:ind w:right="1680"/>
              <w:rPr>
                <w:rFonts w:ascii="仿宋_GB2312" w:hAnsi="仿宋_GB2312" w:eastAsia="仿宋_GB2312" w:cs="Times New Roman"/>
                <w:sz w:val="24"/>
              </w:rPr>
            </w:pPr>
          </w:p>
          <w:p>
            <w:pPr>
              <w:ind w:right="1680"/>
              <w:rPr>
                <w:rFonts w:ascii="仿宋_GB2312" w:hAnsi="仿宋_GB2312" w:eastAsia="仿宋_GB2312" w:cs="Times New Roman"/>
                <w:sz w:val="24"/>
              </w:rPr>
            </w:pPr>
            <w:r>
              <w:rPr>
                <w:rFonts w:hint="eastAsia" w:ascii="仿宋_GB2312" w:hAnsi="仿宋_GB2312" w:eastAsia="仿宋_GB2312" w:cs="Times New Roman"/>
                <w:sz w:val="24"/>
              </w:rPr>
              <w:t>主管领导签字：</w:t>
            </w:r>
          </w:p>
          <w:p>
            <w:pPr>
              <w:ind w:right="1680"/>
              <w:rPr>
                <w:rFonts w:ascii="仿宋_GB2312" w:hAnsi="仿宋_GB2312" w:eastAsia="仿宋_GB2312" w:cs="Times New Roman"/>
                <w:sz w:val="24"/>
              </w:rPr>
            </w:pPr>
          </w:p>
          <w:p>
            <w:pPr>
              <w:ind w:right="1680"/>
              <w:rPr>
                <w:rFonts w:ascii="仿宋_GB2312" w:hAnsi="仿宋_GB2312" w:eastAsia="仿宋_GB2312" w:cs="Times New Roman"/>
                <w:sz w:val="24"/>
              </w:rPr>
            </w:pPr>
          </w:p>
          <w:p>
            <w:pPr>
              <w:ind w:right="1680"/>
              <w:rPr>
                <w:rFonts w:ascii="仿宋_GB2312" w:hAnsi="仿宋_GB2312" w:eastAsia="仿宋_GB2312" w:cs="Times New Roman"/>
                <w:sz w:val="24"/>
              </w:rPr>
            </w:pPr>
          </w:p>
          <w:p>
            <w:pPr>
              <w:ind w:right="1680"/>
              <w:rPr>
                <w:rFonts w:ascii="仿宋_GB2312" w:hAnsi="仿宋_GB2312" w:eastAsia="仿宋_GB2312" w:cs="Times New Roman"/>
                <w:sz w:val="24"/>
              </w:rPr>
            </w:pPr>
          </w:p>
          <w:p>
            <w:pPr>
              <w:ind w:right="840" w:firstLine="6360" w:firstLineChars="2650"/>
              <w:rPr>
                <w:rFonts w:ascii="仿宋_GB2312" w:hAnsi="仿宋_GB2312" w:eastAsia="仿宋_GB2312" w:cs="Times New Roman"/>
                <w:sz w:val="24"/>
              </w:rPr>
            </w:pPr>
            <w:r>
              <w:rPr>
                <w:rFonts w:hint="eastAsia" w:ascii="仿宋_GB2312" w:hAnsi="仿宋_GB2312" w:eastAsia="仿宋_GB2312" w:cs="Times New Roman"/>
                <w:sz w:val="24"/>
              </w:rPr>
              <w:t>（公章）</w:t>
            </w:r>
          </w:p>
          <w:p>
            <w:pPr>
              <w:ind w:right="840" w:firstLine="6360" w:firstLineChars="2650"/>
              <w:rPr>
                <w:rFonts w:ascii="仿宋_GB2312" w:hAnsi="仿宋_GB2312" w:eastAsia="仿宋_GB2312" w:cs="Times New Roman"/>
                <w:sz w:val="24"/>
              </w:rPr>
            </w:pPr>
          </w:p>
          <w:p>
            <w:pPr>
              <w:ind w:firstLine="5400" w:firstLineChars="2250"/>
              <w:rPr>
                <w:rFonts w:ascii="仿宋_GB2312" w:hAnsi="仿宋_GB2312" w:eastAsia="仿宋_GB2312" w:cs="Times New Roman"/>
                <w:sz w:val="24"/>
              </w:rPr>
            </w:pPr>
            <w:r>
              <w:rPr>
                <w:rFonts w:hint="eastAsia" w:ascii="仿宋_GB2312" w:hAnsi="仿宋_GB2312" w:eastAsia="仿宋_GB2312" w:cs="Times New Roman"/>
                <w:sz w:val="24"/>
              </w:rPr>
              <w:t>年   月   日</w:t>
            </w:r>
          </w:p>
        </w:tc>
      </w:tr>
    </w:tbl>
    <w:p>
      <w:pPr>
        <w:widowControl/>
        <w:shd w:val="clear" w:color="auto" w:fill="FFFFFF"/>
        <w:spacing w:line="0" w:lineRule="atLeast"/>
        <w:jc w:val="left"/>
        <w:rPr>
          <w:rFonts w:ascii="等线" w:hAnsi="等线" w:eastAsia="等线" w:cs="Times New Roman"/>
          <w:sz w:val="2"/>
          <w:szCs w:val="2"/>
        </w:rPr>
      </w:pPr>
    </w:p>
    <w:p>
      <w:pPr>
        <w:widowControl/>
        <w:jc w:val="left"/>
        <w:rPr>
          <w:rFonts w:ascii="仿宋_GB2312" w:hAnsi="仿宋" w:eastAsia="仿宋_GB2312" w:cs="宋体"/>
          <w:kern w:val="0"/>
          <w:sz w:val="32"/>
          <w:szCs w:val="32"/>
        </w:rPr>
      </w:pPr>
    </w:p>
    <w:p>
      <w:pPr>
        <w:widowControl/>
        <w:jc w:val="left"/>
        <w:rPr>
          <w:rFonts w:ascii="仿宋_GB2312" w:hAnsi="仿宋" w:eastAsia="仿宋_GB2312" w:cs="宋体"/>
          <w:kern w:val="0"/>
          <w:sz w:val="32"/>
          <w:szCs w:val="32"/>
        </w:rPr>
      </w:pPr>
    </w:p>
    <w:p>
      <w:pPr>
        <w:widowControl/>
        <w:jc w:val="left"/>
        <w:rPr>
          <w:rFonts w:ascii="仿宋_GB2312" w:hAnsi="仿宋" w:eastAsia="仿宋_GB2312" w:cs="宋体"/>
          <w:kern w:val="0"/>
          <w:sz w:val="32"/>
          <w:szCs w:val="32"/>
        </w:rPr>
      </w:pPr>
    </w:p>
    <w:p>
      <w:pPr>
        <w:widowControl/>
        <w:jc w:val="left"/>
        <w:rPr>
          <w:rFonts w:ascii="仿宋_GB2312" w:hAnsi="仿宋" w:eastAsia="仿宋_GB2312" w:cs="宋体"/>
          <w:kern w:val="0"/>
          <w:sz w:val="32"/>
          <w:szCs w:val="32"/>
        </w:rPr>
      </w:pPr>
    </w:p>
    <w:p>
      <w:pPr>
        <w:widowControl/>
        <w:jc w:val="left"/>
        <w:rPr>
          <w:rFonts w:ascii="仿宋_GB2312" w:hAnsi="仿宋" w:eastAsia="仿宋_GB2312" w:cs="宋体"/>
          <w:kern w:val="0"/>
          <w:sz w:val="32"/>
          <w:szCs w:val="32"/>
        </w:rPr>
      </w:pPr>
      <w:bookmarkStart w:id="0" w:name="_GoBack"/>
      <w:bookmarkEnd w:id="0"/>
    </w:p>
    <w:p>
      <w:pPr>
        <w:widowControl/>
        <w:jc w:val="left"/>
        <w:rPr>
          <w:rFonts w:ascii="仿宋_GB2312" w:hAnsi="仿宋" w:eastAsia="仿宋_GB2312" w:cs="宋体"/>
          <w:kern w:val="0"/>
          <w:sz w:val="32"/>
          <w:szCs w:val="32"/>
        </w:rPr>
      </w:pPr>
    </w:p>
    <w:p>
      <w:pPr>
        <w:widowControl/>
        <w:jc w:val="left"/>
        <w:rPr>
          <w:rFonts w:hint="eastAsia" w:ascii="仿宋_GB2312" w:hAnsi="仿宋" w:eastAsia="仿宋_GB2312" w:cs="宋体"/>
          <w:kern w:val="0"/>
          <w:sz w:val="32"/>
          <w:szCs w:val="32"/>
        </w:rPr>
      </w:pPr>
    </w:p>
    <w:p/>
    <w:sectPr>
      <w:headerReference r:id="rId9" w:type="default"/>
      <w:footerReference r:id="rId10"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Verdana,ˎ̥">
    <w:altName w:val="宋体"/>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瀹嬩綋">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20 -</w:t>
    </w:r>
    <w:r>
      <w:rPr>
        <w:rFonts w:ascii="宋体" w:hAnsi="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20 -</w:t>
    </w:r>
    <w:r>
      <w:rPr>
        <w:rFonts w:ascii="宋体" w:hAnsi="宋体"/>
        <w:sz w:val="24"/>
        <w:szCs w:val="24"/>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20 -</w:t>
    </w:r>
    <w:r>
      <w:rPr>
        <w:rFonts w:ascii="宋体" w:hAnsi="宋体"/>
        <w:sz w:val="24"/>
        <w:szCs w:val="24"/>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61C"/>
    <w:rsid w:val="0013361C"/>
    <w:rsid w:val="00196C61"/>
    <w:rsid w:val="006367DF"/>
    <w:rsid w:val="0066456E"/>
    <w:rsid w:val="00857D3A"/>
    <w:rsid w:val="009D3F26"/>
    <w:rsid w:val="00A77AE9"/>
    <w:rsid w:val="00C644FE"/>
    <w:rsid w:val="00CD48D3"/>
    <w:rsid w:val="00EB25E2"/>
    <w:rsid w:val="00F91D16"/>
    <w:rsid w:val="00FE05A4"/>
    <w:rsid w:val="10E22337"/>
    <w:rsid w:val="52BD3243"/>
    <w:rsid w:val="5DCD5DE0"/>
    <w:rsid w:val="5E8D60E0"/>
    <w:rsid w:val="5EE470F8"/>
    <w:rsid w:val="73765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semiHidden/>
    <w:unhideWhenUsed/>
    <w:qFormat/>
    <w:uiPriority w:val="99"/>
    <w:pPr>
      <w:ind w:left="100" w:leftChars="2500"/>
    </w:pPr>
    <w:rPr>
      <w:rFonts w:ascii="Calibri" w:hAnsi="Calibri" w:eastAsia="宋体" w:cs="Times New Roman"/>
    </w:rPr>
  </w:style>
  <w:style w:type="paragraph" w:styleId="3">
    <w:name w:val="Balloon Text"/>
    <w:basedOn w:val="1"/>
    <w:link w:val="15"/>
    <w:semiHidden/>
    <w:unhideWhenUsed/>
    <w:uiPriority w:val="99"/>
    <w:rPr>
      <w:rFonts w:ascii="Calibri" w:hAnsi="Calibri" w:eastAsia="宋体" w:cs="Times New Roman"/>
      <w:sz w:val="18"/>
      <w:szCs w:val="18"/>
    </w:rPr>
  </w:style>
  <w:style w:type="paragraph" w:styleId="4">
    <w:name w:val="footer"/>
    <w:basedOn w:val="1"/>
    <w:link w:val="13"/>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0"/>
    <w:rPr>
      <w:b/>
      <w:bCs/>
    </w:rPr>
  </w:style>
  <w:style w:type="character" w:styleId="10">
    <w:name w:val="page number"/>
    <w:uiPriority w:val="0"/>
  </w:style>
  <w:style w:type="character" w:styleId="11">
    <w:name w:val="Hyperlink"/>
    <w:unhideWhenUsed/>
    <w:uiPriority w:val="99"/>
    <w:rPr>
      <w:color w:val="333333"/>
      <w:u w:val="none"/>
    </w:rPr>
  </w:style>
  <w:style w:type="character" w:customStyle="1" w:styleId="12">
    <w:name w:val="页眉 字符"/>
    <w:basedOn w:val="8"/>
    <w:link w:val="5"/>
    <w:uiPriority w:val="0"/>
    <w:rPr>
      <w:rFonts w:ascii="Calibri" w:hAnsi="Calibri" w:eastAsia="宋体" w:cs="Times New Roman"/>
      <w:sz w:val="18"/>
      <w:szCs w:val="18"/>
    </w:rPr>
  </w:style>
  <w:style w:type="character" w:customStyle="1" w:styleId="13">
    <w:name w:val="页脚 字符"/>
    <w:basedOn w:val="8"/>
    <w:link w:val="4"/>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框文本 字符"/>
    <w:basedOn w:val="8"/>
    <w:link w:val="3"/>
    <w:semiHidden/>
    <w:qFormat/>
    <w:uiPriority w:val="99"/>
    <w:rPr>
      <w:rFonts w:ascii="Calibri" w:hAnsi="Calibri" w:eastAsia="宋体" w:cs="Times New Roman"/>
      <w:sz w:val="18"/>
      <w:szCs w:val="18"/>
    </w:rPr>
  </w:style>
  <w:style w:type="character" w:customStyle="1" w:styleId="16">
    <w:name w:val="日期 字符"/>
    <w:basedOn w:val="8"/>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1225</Words>
  <Characters>6985</Characters>
  <Lines>58</Lines>
  <Paragraphs>16</Paragraphs>
  <TotalTime>0</TotalTime>
  <ScaleCrop>false</ScaleCrop>
  <LinksUpToDate>false</LinksUpToDate>
  <CharactersWithSpaces>8194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2020-09-10T01:43:00Z</dcterms:created>
  <dc:creator>文印室</dc:creator>
  <cp:lastModifiedBy>WPS_1510212321</cp:lastModifiedBy>
  <dcterms:modified xsi:type="dcterms:W3CDTF">2020-09-10T08:46:48Z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