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1B" w:rsidRDefault="00F6257A" w:rsidP="00835AC8">
      <w:pPr>
        <w:spacing w:line="600" w:lineRule="exact"/>
        <w:jc w:val="center"/>
        <w:rPr>
          <w:rFonts w:ascii="宋体" w:eastAsia="宋体" w:hAnsi="宋体"/>
          <w:b/>
          <w:color w:val="0D0D0D" w:themeColor="text1" w:themeTint="F2"/>
          <w:sz w:val="44"/>
          <w:szCs w:val="44"/>
        </w:rPr>
      </w:pPr>
      <w:r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关于</w:t>
      </w:r>
      <w:r w:rsidR="0046511B"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推进</w:t>
      </w:r>
      <w:r w:rsidR="00E16815"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科技人才</w:t>
      </w:r>
    </w:p>
    <w:p w:rsidR="00485938" w:rsidRPr="003846A0" w:rsidRDefault="00E16815" w:rsidP="00835AC8">
      <w:pPr>
        <w:spacing w:line="600" w:lineRule="exact"/>
        <w:jc w:val="center"/>
        <w:rPr>
          <w:rFonts w:ascii="宋体" w:eastAsia="宋体" w:hAnsi="宋体"/>
          <w:b/>
          <w:color w:val="0D0D0D" w:themeColor="text1" w:themeTint="F2"/>
          <w:sz w:val="44"/>
          <w:szCs w:val="44"/>
        </w:rPr>
      </w:pPr>
      <w:r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评价</w:t>
      </w:r>
      <w:r w:rsidR="0046511B"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机制改革</w:t>
      </w:r>
      <w:r w:rsidR="000A4585" w:rsidRPr="003846A0"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的</w:t>
      </w:r>
      <w:r w:rsidR="001E381C" w:rsidRPr="003846A0"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实施</w:t>
      </w:r>
      <w:r w:rsidR="000A4585" w:rsidRPr="003846A0">
        <w:rPr>
          <w:rFonts w:ascii="宋体" w:eastAsia="宋体" w:hAnsi="宋体" w:hint="eastAsia"/>
          <w:b/>
          <w:color w:val="0D0D0D" w:themeColor="text1" w:themeTint="F2"/>
          <w:sz w:val="44"/>
          <w:szCs w:val="44"/>
        </w:rPr>
        <w:t>意见</w:t>
      </w:r>
    </w:p>
    <w:p w:rsidR="00485938" w:rsidRPr="002342F3" w:rsidRDefault="001C717B" w:rsidP="002342F3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为贯彻落实中共中央办公厅、国务院办公厅《关于分类推进人才评价机制改革的指导意见》</w:t>
      </w:r>
      <w:r w:rsidR="002C640D"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（中办发〔2018〕6号）</w:t>
      </w:r>
      <w:r w:rsidR="00C40845" w:rsidRPr="002342F3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精神，</w:t>
      </w:r>
      <w:r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全面深化科技体制改革，</w:t>
      </w:r>
      <w:r w:rsidR="00F6257A">
        <w:rPr>
          <w:rFonts w:ascii="华文仿宋" w:eastAsia="华文仿宋" w:hAnsi="华文仿宋" w:cs="Arial" w:hint="eastAsia"/>
          <w:color w:val="333333"/>
          <w:spacing w:val="8"/>
          <w:sz w:val="32"/>
          <w:szCs w:val="32"/>
        </w:rPr>
        <w:t>深入</w:t>
      </w:r>
      <w:r w:rsidR="002342F3" w:rsidRPr="002342F3">
        <w:rPr>
          <w:rFonts w:ascii="华文仿宋" w:eastAsia="华文仿宋" w:hAnsi="华文仿宋" w:cs="Arial"/>
          <w:color w:val="333333"/>
          <w:spacing w:val="8"/>
          <w:sz w:val="32"/>
          <w:szCs w:val="32"/>
        </w:rPr>
        <w:t>实施创新驱动</w:t>
      </w:r>
      <w:r w:rsidR="00F6257A">
        <w:rPr>
          <w:rFonts w:ascii="华文仿宋" w:eastAsia="华文仿宋" w:hAnsi="华文仿宋" w:cs="Arial"/>
          <w:color w:val="333333"/>
          <w:spacing w:val="8"/>
          <w:sz w:val="32"/>
          <w:szCs w:val="32"/>
        </w:rPr>
        <w:t>发展战略</w:t>
      </w:r>
      <w:r w:rsidR="00F6257A">
        <w:rPr>
          <w:rFonts w:ascii="华文仿宋" w:eastAsia="华文仿宋" w:hAnsi="华文仿宋" w:cs="Arial" w:hint="eastAsia"/>
          <w:color w:val="333333"/>
          <w:spacing w:val="8"/>
          <w:sz w:val="32"/>
          <w:szCs w:val="32"/>
        </w:rPr>
        <w:t>，</w:t>
      </w:r>
      <w:r w:rsidR="00F6257A">
        <w:rPr>
          <w:rFonts w:ascii="华文仿宋" w:eastAsia="华文仿宋" w:hAnsi="华文仿宋" w:cs="Arial"/>
          <w:color w:val="333333"/>
          <w:spacing w:val="8"/>
          <w:sz w:val="32"/>
          <w:szCs w:val="32"/>
        </w:rPr>
        <w:t>加快</w:t>
      </w:r>
      <w:r w:rsidR="002342F3" w:rsidRPr="002342F3">
        <w:rPr>
          <w:rFonts w:ascii="华文仿宋" w:eastAsia="华文仿宋" w:hAnsi="华文仿宋" w:cs="Arial"/>
          <w:color w:val="333333"/>
          <w:spacing w:val="8"/>
          <w:sz w:val="32"/>
          <w:szCs w:val="32"/>
        </w:rPr>
        <w:t>人才强区</w:t>
      </w:r>
      <w:r w:rsidR="002342F3">
        <w:rPr>
          <w:rFonts w:ascii="华文仿宋" w:eastAsia="华文仿宋" w:hAnsi="华文仿宋" w:cs="Arial" w:hint="eastAsia"/>
          <w:color w:val="333333"/>
          <w:spacing w:val="8"/>
          <w:sz w:val="32"/>
          <w:szCs w:val="32"/>
        </w:rPr>
        <w:t>建设</w:t>
      </w:r>
      <w:r w:rsidR="002342F3" w:rsidRPr="002342F3">
        <w:rPr>
          <w:rFonts w:ascii="华文仿宋" w:eastAsia="华文仿宋" w:hAnsi="华文仿宋" w:cs="Arial"/>
          <w:color w:val="333333"/>
          <w:spacing w:val="8"/>
          <w:sz w:val="32"/>
          <w:szCs w:val="32"/>
        </w:rPr>
        <w:t>，</w:t>
      </w:r>
      <w:r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推动</w:t>
      </w:r>
      <w:r w:rsidR="00FF00F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自治区</w:t>
      </w:r>
      <w:r w:rsidR="002342F3"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经济社会</w:t>
      </w:r>
      <w:r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高质量发展，结合</w:t>
      </w:r>
      <w:r w:rsidR="002342F3"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自治区实际，</w:t>
      </w:r>
      <w:r w:rsidR="00E16815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提出如下意见</w:t>
      </w:r>
      <w:r w:rsidRPr="002342F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。</w:t>
      </w:r>
    </w:p>
    <w:p w:rsidR="00485938" w:rsidRPr="006C4002" w:rsidRDefault="000E5D6F" w:rsidP="006C4002">
      <w:pPr>
        <w:spacing w:line="600" w:lineRule="exact"/>
        <w:ind w:firstLineChars="200" w:firstLine="640"/>
        <w:outlineLvl w:val="0"/>
        <w:rPr>
          <w:rFonts w:ascii="黑体" w:eastAsia="黑体" w:hAnsi="黑体"/>
          <w:color w:val="0D0D0D" w:themeColor="text1" w:themeTint="F2"/>
          <w:sz w:val="32"/>
          <w:szCs w:val="32"/>
        </w:rPr>
      </w:pPr>
      <w:r w:rsidRPr="006C4002">
        <w:rPr>
          <w:rFonts w:ascii="黑体" w:eastAsia="黑体" w:hAnsi="黑体" w:hint="eastAsia"/>
          <w:color w:val="0D0D0D" w:themeColor="text1" w:themeTint="F2"/>
          <w:sz w:val="32"/>
          <w:szCs w:val="32"/>
        </w:rPr>
        <w:t>一、</w:t>
      </w:r>
      <w:r w:rsidR="001C717B" w:rsidRPr="006C4002">
        <w:rPr>
          <w:rFonts w:ascii="黑体" w:eastAsia="黑体" w:hAnsi="黑体" w:hint="eastAsia"/>
          <w:color w:val="0D0D0D" w:themeColor="text1" w:themeTint="F2"/>
          <w:sz w:val="32"/>
          <w:szCs w:val="32"/>
        </w:rPr>
        <w:t>总体要求</w:t>
      </w:r>
    </w:p>
    <w:p w:rsidR="00F6257A" w:rsidRDefault="0068391A" w:rsidP="002C3351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全面贯彻党的十九大精神，</w:t>
      </w:r>
      <w:r w:rsidR="001C717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以习近平新时代中国特色社会主义思想为指导，</w:t>
      </w:r>
      <w:r w:rsidR="00E16815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坚持党管人才</w:t>
      </w:r>
      <w:r w:rsidR="00F374B9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、</w:t>
      </w:r>
      <w:r w:rsidR="00E16815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服务发展</w:t>
      </w:r>
      <w:r w:rsidR="00F374B9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、</w:t>
      </w:r>
      <w:r w:rsidR="00E16815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科学公正</w:t>
      </w:r>
      <w:r w:rsidR="00F374B9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、</w:t>
      </w:r>
      <w:r w:rsidR="00F374B9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改革创新</w:t>
      </w:r>
      <w:r w:rsidR="00F374B9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</w:t>
      </w:r>
      <w:r w:rsidR="00E16815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坚持</w:t>
      </w:r>
      <w:r w:rsidR="00E16815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遵循科技人才成长规律，突出德、能、绩综合评价导向</w:t>
      </w:r>
      <w:r w:rsidR="00E16815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</w:t>
      </w:r>
      <w:r w:rsidR="001C717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围绕实施</w:t>
      </w:r>
      <w:r w:rsidR="00EA4D57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人才强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区</w:t>
      </w:r>
      <w:r w:rsidR="00190E9A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战略</w:t>
      </w:r>
      <w:r w:rsidR="0003657A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和创新驱动发展战略</w:t>
      </w:r>
      <w:r w:rsidR="00F6257A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</w:t>
      </w:r>
      <w:r w:rsidR="00466853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以科学分类为基础，</w:t>
      </w:r>
      <w:r w:rsidR="001C717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完善</w:t>
      </w:r>
      <w:r w:rsidR="00F6257A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科技人才</w:t>
      </w:r>
      <w:r w:rsidR="001C717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评价机制，</w:t>
      </w:r>
      <w:r w:rsidR="00232F6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让科技人才价值得到充分尊重和体现，最大限度激发和释放人才创新创业活力，</w:t>
      </w:r>
      <w:r w:rsidR="001C717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引导人才</w:t>
      </w:r>
      <w:r w:rsidR="00C848B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作为“第一资源”助力自治区</w:t>
      </w:r>
      <w:r w:rsidR="001C717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经济</w:t>
      </w:r>
      <w:r w:rsidR="00C848B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社会</w:t>
      </w:r>
      <w:r w:rsidR="001C717B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发展。</w:t>
      </w:r>
    </w:p>
    <w:p w:rsidR="005902C8" w:rsidRPr="006C4002" w:rsidRDefault="000E5D6F" w:rsidP="006C4002">
      <w:pPr>
        <w:spacing w:line="600" w:lineRule="exact"/>
        <w:ind w:firstLineChars="200" w:firstLine="640"/>
        <w:outlineLvl w:val="0"/>
        <w:rPr>
          <w:rFonts w:ascii="黑体" w:eastAsia="黑体" w:hAnsi="黑体"/>
          <w:color w:val="0D0D0D" w:themeColor="text1" w:themeTint="F2"/>
          <w:sz w:val="32"/>
          <w:szCs w:val="32"/>
        </w:rPr>
      </w:pPr>
      <w:r w:rsidRPr="006C4002">
        <w:rPr>
          <w:rFonts w:ascii="黑体" w:eastAsia="黑体" w:hAnsi="黑体" w:hint="eastAsia"/>
          <w:color w:val="0D0D0D" w:themeColor="text1" w:themeTint="F2"/>
          <w:sz w:val="32"/>
          <w:szCs w:val="32"/>
        </w:rPr>
        <w:t>二、</w:t>
      </w:r>
      <w:r w:rsidR="001C717B" w:rsidRPr="006C4002">
        <w:rPr>
          <w:rFonts w:ascii="黑体" w:eastAsia="黑体" w:hAnsi="黑体" w:hint="eastAsia"/>
          <w:color w:val="0D0D0D" w:themeColor="text1" w:themeTint="F2"/>
          <w:sz w:val="32"/>
          <w:szCs w:val="32"/>
        </w:rPr>
        <w:t>具体措施</w:t>
      </w:r>
    </w:p>
    <w:p w:rsidR="00770FF1" w:rsidRDefault="005902C8" w:rsidP="00BB06EC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232F63">
        <w:rPr>
          <w:rFonts w:ascii="楷体_GB2312" w:eastAsia="楷体_GB2312" w:hAnsi="Calibri" w:cs="Times New Roman" w:hint="eastAsia"/>
          <w:sz w:val="32"/>
          <w:szCs w:val="32"/>
        </w:rPr>
        <w:t>（一）</w:t>
      </w:r>
      <w:r w:rsidR="001C717B" w:rsidRPr="00232F63">
        <w:rPr>
          <w:rFonts w:ascii="楷体_GB2312" w:eastAsia="楷体_GB2312" w:hAnsi="Calibri" w:cs="Times New Roman" w:hint="eastAsia"/>
          <w:sz w:val="32"/>
          <w:szCs w:val="32"/>
        </w:rPr>
        <w:t>改革科技人才评价制度</w:t>
      </w:r>
      <w:r w:rsidR="00242983" w:rsidRPr="00232F63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="00BB06EC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赋予用人单位评价自主权</w:t>
      </w:r>
      <w:r w:rsidR="00BB06EC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</w:t>
      </w:r>
      <w:r w:rsidR="00B45F83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加快建立科学化、社会化、市场化的人才评价制度。</w:t>
      </w:r>
      <w:r w:rsidR="00770FF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支持用人单位结合自身功能定位和发展方向</w:t>
      </w:r>
      <w:r w:rsidR="00F374B9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</w:t>
      </w:r>
      <w:r w:rsidR="00770FF1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根据科技人才所从事的工作性质和岗位，确定相应的评价标准、方式和周期，</w:t>
      </w:r>
      <w:r w:rsidR="00770FF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突出岗位履职评价，完善内部监督机制，使人才发展与单位使命更好协调统一</w:t>
      </w:r>
      <w:r w:rsidR="00770FF1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。</w:t>
      </w:r>
    </w:p>
    <w:p w:rsidR="00770FF1" w:rsidRDefault="00770FF1" w:rsidP="00770FF1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推行代表作评价制度，把学科领域活跃度和影响力、重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lastRenderedPageBreak/>
        <w:t>要学术组织或期刊任职、研发成果原创性，</w:t>
      </w:r>
      <w:r w:rsidRPr="002C3351">
        <w:rPr>
          <w:rFonts w:ascii="华文仿宋" w:eastAsia="华文仿宋" w:hAnsi="华文仿宋"/>
          <w:color w:val="0D0D0D" w:themeColor="text1" w:themeTint="F2"/>
          <w:sz w:val="32"/>
          <w:szCs w:val="32"/>
        </w:rPr>
        <w:t>尤其是</w:t>
      </w:r>
      <w:r>
        <w:rPr>
          <w:rFonts w:ascii="华文仿宋" w:eastAsia="华文仿宋" w:hAnsi="华文仿宋"/>
          <w:color w:val="0D0D0D" w:themeColor="text1" w:themeTint="F2"/>
          <w:sz w:val="32"/>
          <w:szCs w:val="32"/>
        </w:rPr>
        <w:t>为推动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自治区经济社会发展开展</w:t>
      </w:r>
      <w:r w:rsidRPr="002C3351">
        <w:rPr>
          <w:rFonts w:ascii="华文仿宋" w:eastAsia="华文仿宋" w:hAnsi="华文仿宋"/>
          <w:color w:val="0D0D0D" w:themeColor="text1" w:themeTint="F2"/>
          <w:sz w:val="32"/>
          <w:szCs w:val="32"/>
        </w:rPr>
        <w:t>的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基础</w:t>
      </w:r>
      <w:r w:rsidRPr="002C3351">
        <w:rPr>
          <w:rFonts w:ascii="华文仿宋" w:eastAsia="华文仿宋" w:hAnsi="华文仿宋"/>
          <w:color w:val="0D0D0D" w:themeColor="text1" w:themeTint="F2"/>
          <w:sz w:val="32"/>
          <w:szCs w:val="32"/>
        </w:rPr>
        <w:t>研究、技术攻关、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成果</w:t>
      </w:r>
      <w:r w:rsidRPr="002C3351">
        <w:rPr>
          <w:rFonts w:ascii="华文仿宋" w:eastAsia="华文仿宋" w:hAnsi="华文仿宋"/>
          <w:color w:val="0D0D0D" w:themeColor="text1" w:themeTint="F2"/>
          <w:sz w:val="32"/>
          <w:szCs w:val="32"/>
        </w:rPr>
        <w:t>转移转化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效益</w:t>
      </w:r>
      <w:r w:rsidRPr="002C3351">
        <w:rPr>
          <w:rFonts w:ascii="华文仿宋" w:eastAsia="华文仿宋" w:hAnsi="华文仿宋"/>
          <w:color w:val="0D0D0D" w:themeColor="text1" w:themeTint="F2"/>
          <w:sz w:val="32"/>
          <w:szCs w:val="32"/>
        </w:rPr>
        <w:t>及服务绩效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作为重要评价</w:t>
      </w:r>
      <w:r w:rsidRPr="002C3351">
        <w:rPr>
          <w:rFonts w:ascii="华文仿宋" w:eastAsia="华文仿宋" w:hAnsi="华文仿宋"/>
          <w:color w:val="0D0D0D" w:themeColor="text1" w:themeTint="F2"/>
          <w:sz w:val="32"/>
          <w:szCs w:val="32"/>
        </w:rPr>
        <w:t>指标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。</w:t>
      </w:r>
      <w:r w:rsidR="00627575" w:rsidRPr="002C3351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完善在重大科研、工程项目实施、急难险重工作中评价、识别人才机制</w:t>
      </w:r>
      <w:r w:rsidR="00627575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。</w:t>
      </w:r>
    </w:p>
    <w:p w:rsidR="0088430B" w:rsidRPr="008A6FF1" w:rsidRDefault="006E1811" w:rsidP="00770FF1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217DE8">
        <w:rPr>
          <w:rFonts w:ascii="楷体_GB2312" w:eastAsia="楷体_GB2312" w:hAnsi="Calibri" w:cs="Times New Roman" w:hint="eastAsia"/>
          <w:sz w:val="32"/>
          <w:szCs w:val="32"/>
        </w:rPr>
        <w:t>（二）健全科技</w:t>
      </w:r>
      <w:r w:rsidRPr="00217DE8">
        <w:rPr>
          <w:rFonts w:ascii="楷体_GB2312" w:eastAsia="楷体_GB2312" w:hAnsi="Calibri" w:cs="Times New Roman"/>
          <w:sz w:val="32"/>
          <w:szCs w:val="32"/>
        </w:rPr>
        <w:t>人才评价标准</w:t>
      </w:r>
      <w:r w:rsidRPr="00217DE8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="00770FF1" w:rsidRPr="00770FF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根据科技人才的工作性质</w:t>
      </w:r>
      <w:r w:rsidR="004B4A9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和科技活动特点，建立以科研诚信为基础</w:t>
      </w:r>
      <w:r w:rsidR="00793218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，以品德、能力、质量、贡献、绩效为导向</w:t>
      </w:r>
      <w:r w:rsidR="004B4A9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的科技人才评价标准</w:t>
      </w:r>
      <w:r w:rsidR="00793218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，坚持德才兼备，以德为先，坚持凭能力、凭实绩、凭贡献评价科技人才。</w:t>
      </w:r>
    </w:p>
    <w:p w:rsidR="00903797" w:rsidRDefault="0029724E" w:rsidP="004B4A9F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对主要从事基础研究的人才，着重评价其提出和解决重大科学问题的原创能力、成果的科学价值、学术水平和影响等，适当延长评价考核周期。对主要从事应用研究和技术开发的人才，着重评价其技术创新与集成能力、取得</w:t>
      </w:r>
      <w:r w:rsidR="00903797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的自主知识产权和重大技术突破、成果转化、对产业发展的实际贡献等。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对主要从事成果转化的人才，注重转化后形成的产值、利润等经济效益和吸纳就业等社会效益，进一步强化实践能力评价。对主要从事社会公益研究</w:t>
      </w:r>
      <w:r w:rsidR="00100C68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、科技管理服务和实验技术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的人才，着重评价其为社会公益事业和政府决策提供科技支撑的能力和贡献</w:t>
      </w:r>
      <w:r w:rsidR="00100C68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以及管理服务水平与效率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。</w:t>
      </w:r>
    </w:p>
    <w:p w:rsidR="00100C68" w:rsidRDefault="002B4379" w:rsidP="001C190E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注重个人评价与团队评价相结合，</w:t>
      </w:r>
      <w:r w:rsidR="0029724E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进一步完善科技创新团队评价办法，实行以合作解决重大科技问题为重点的整体性评价</w:t>
      </w:r>
      <w:r w:rsidR="001C190E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</w:t>
      </w:r>
      <w:r w:rsidR="001C190E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对创新团队负责人以把握研究发展方向、学术造诣水平、组织协调和团队建设等为评价重点</w:t>
      </w:r>
      <w:r w:rsidR="0029724E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。</w:t>
      </w:r>
    </w:p>
    <w:p w:rsidR="00590D81" w:rsidRPr="00217DE8" w:rsidRDefault="006E1811" w:rsidP="00217DE8">
      <w:pPr>
        <w:spacing w:line="600" w:lineRule="exact"/>
        <w:ind w:firstLineChars="200" w:firstLine="640"/>
        <w:rPr>
          <w:rFonts w:ascii="楷体_GB2312" w:eastAsia="楷体_GB2312" w:hAnsi="Calibri" w:cs="Times New Roman"/>
          <w:sz w:val="32"/>
          <w:szCs w:val="32"/>
        </w:rPr>
      </w:pPr>
      <w:r w:rsidRPr="00217DE8">
        <w:rPr>
          <w:rFonts w:ascii="楷体_GB2312" w:eastAsia="楷体_GB2312" w:hAnsi="Calibri" w:cs="Times New Roman" w:hint="eastAsia"/>
          <w:sz w:val="32"/>
          <w:szCs w:val="32"/>
        </w:rPr>
        <w:t>（三）</w:t>
      </w:r>
      <w:r w:rsidR="004B4A9F">
        <w:rPr>
          <w:rFonts w:ascii="楷体_GB2312" w:eastAsia="楷体_GB2312" w:hAnsi="Calibri" w:cs="Times New Roman" w:hint="eastAsia"/>
          <w:sz w:val="32"/>
          <w:szCs w:val="32"/>
        </w:rPr>
        <w:t>改进</w:t>
      </w:r>
      <w:r w:rsidRPr="00217DE8">
        <w:rPr>
          <w:rFonts w:ascii="楷体_GB2312" w:eastAsia="楷体_GB2312" w:hAnsi="Calibri" w:cs="Times New Roman" w:hint="eastAsia"/>
          <w:sz w:val="32"/>
          <w:szCs w:val="32"/>
        </w:rPr>
        <w:t>科技人才评价</w:t>
      </w:r>
      <w:r w:rsidR="004B4A9F">
        <w:rPr>
          <w:rFonts w:ascii="楷体_GB2312" w:eastAsia="楷体_GB2312" w:hAnsi="Calibri" w:cs="Times New Roman" w:hint="eastAsia"/>
          <w:sz w:val="32"/>
          <w:szCs w:val="32"/>
        </w:rPr>
        <w:t>方法</w:t>
      </w:r>
      <w:r w:rsidRPr="00217DE8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="006A3E88" w:rsidRPr="006A3E88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加快转变政府职能，保</w:t>
      </w:r>
      <w:r w:rsidR="006A3E88" w:rsidRPr="006A3E88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lastRenderedPageBreak/>
        <w:t>障落实用人单位自主权。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发挥</w:t>
      </w:r>
      <w:r w:rsidR="006A3E88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政府、</w:t>
      </w: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市场、</w:t>
      </w:r>
      <w:r w:rsidR="006A3E88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专业组织、用人单位</w:t>
      </w: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等多元</w:t>
      </w:r>
      <w:r w:rsidR="004979B7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评价主体作用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。</w:t>
      </w:r>
      <w:bookmarkStart w:id="0" w:name="_Hlk516135037"/>
      <w:r w:rsidR="00590D8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注重定量评价与定性评价相结合，推动评价由重“</w:t>
      </w:r>
      <w:r w:rsidR="00C56CDD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数</w:t>
      </w:r>
      <w:r w:rsidR="00590D8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量”向重“质</w:t>
      </w:r>
      <w:r w:rsidR="00C56CDD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量</w:t>
      </w:r>
      <w:r w:rsidR="00590D8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”转变。</w:t>
      </w:r>
      <w:r w:rsidR="00BB06EC"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树立正确的科技人才评价导向，改进评审方式，减轻</w:t>
      </w:r>
      <w:r w:rsidR="00BB06EC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科技</w:t>
      </w:r>
      <w:r w:rsidR="00BB06EC"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人才负担</w:t>
      </w:r>
      <w:r w:rsidR="00BB06EC" w:rsidRPr="00CD620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，</w:t>
      </w:r>
      <w:r w:rsidR="00BB06EC"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使科技人才称号回归学术性</w:t>
      </w:r>
      <w:r w:rsidR="00BB06EC" w:rsidRPr="00CD620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、</w:t>
      </w:r>
      <w:r w:rsidR="00BB06EC"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荣誉性本质。</w:t>
      </w:r>
    </w:p>
    <w:p w:rsidR="006E1811" w:rsidRPr="002C3351" w:rsidRDefault="00590D81" w:rsidP="001C190E">
      <w:pPr>
        <w:spacing w:line="600" w:lineRule="exact"/>
        <w:ind w:firstLineChars="200" w:firstLine="640"/>
        <w:rPr>
          <w:rFonts w:ascii="宋体" w:eastAsia="宋体" w:hAnsi="宋体"/>
          <w:b/>
          <w:color w:val="0D0D0D" w:themeColor="text1" w:themeTint="F2"/>
          <w:sz w:val="28"/>
          <w:szCs w:val="28"/>
        </w:rPr>
      </w:pP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基础</w:t>
      </w:r>
      <w:r w:rsidRPr="002C3351">
        <w:rPr>
          <w:rFonts w:ascii="华文仿宋" w:eastAsia="华文仿宋" w:hAnsi="华文仿宋"/>
          <w:color w:val="0D0D0D" w:themeColor="text1" w:themeTint="F2"/>
          <w:sz w:val="32"/>
          <w:szCs w:val="32"/>
        </w:rPr>
        <w:t>和前沿技术研究类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人才，推行以同行学术评价为主。应用研究和技术开发类人才，突出</w:t>
      </w: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企业主体、</w:t>
      </w:r>
      <w:r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市场导向，由相关第三方评价成果产业化程度、经济效益、产品开发等市场认可情况。</w:t>
      </w:r>
      <w:bookmarkEnd w:id="0"/>
      <w:r w:rsidR="006E1811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社会公益研究、科技管理服务</w:t>
      </w:r>
      <w:r w:rsidR="004979B7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、</w:t>
      </w:r>
      <w:r w:rsidR="006E1811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实验技术类人才</w:t>
      </w:r>
      <w:r w:rsidR="004979B7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和</w:t>
      </w:r>
      <w:r w:rsidR="006E1811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综合性科技人才，可根据用人单位主体实际，采用专家评估、调查、测评等多元评价方式，委托第三方开展社会评价。</w:t>
      </w:r>
      <w:bookmarkStart w:id="1" w:name="_Hlk516132226"/>
      <w:r w:rsidR="001C190E" w:rsidRPr="002C3351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引进海外人才要加强对其海外教育和科研经历的调查验证，不把教育、工作背景简单等同于科研水平。</w:t>
      </w: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对引进的海外高层次人才和急需紧缺人才，要建设评价绿色通道。</w:t>
      </w:r>
    </w:p>
    <w:bookmarkEnd w:id="1"/>
    <w:p w:rsidR="00D61304" w:rsidRPr="00217DE8" w:rsidRDefault="00901BE2" w:rsidP="00217DE8">
      <w:pPr>
        <w:spacing w:line="600" w:lineRule="exact"/>
        <w:ind w:firstLineChars="200" w:firstLine="640"/>
        <w:rPr>
          <w:rFonts w:ascii="楷体_GB2312" w:eastAsia="楷体_GB2312" w:hAnsi="Calibri" w:cs="Times New Roman"/>
          <w:sz w:val="32"/>
          <w:szCs w:val="32"/>
        </w:rPr>
      </w:pPr>
      <w:r w:rsidRPr="00217DE8">
        <w:rPr>
          <w:rFonts w:ascii="楷体_GB2312" w:eastAsia="楷体_GB2312" w:hAnsi="Calibri" w:cs="Times New Roman" w:hint="eastAsia"/>
          <w:sz w:val="32"/>
          <w:szCs w:val="32"/>
        </w:rPr>
        <w:t>（</w:t>
      </w:r>
      <w:r w:rsidR="00611B9B" w:rsidRPr="00217DE8">
        <w:rPr>
          <w:rFonts w:ascii="楷体_GB2312" w:eastAsia="楷体_GB2312" w:hAnsi="Calibri" w:cs="Times New Roman" w:hint="eastAsia"/>
          <w:sz w:val="32"/>
          <w:szCs w:val="32"/>
        </w:rPr>
        <w:t>四</w:t>
      </w:r>
      <w:r w:rsidRPr="00217DE8">
        <w:rPr>
          <w:rFonts w:ascii="楷体_GB2312" w:eastAsia="楷体_GB2312" w:hAnsi="Calibri" w:cs="Times New Roman" w:hint="eastAsia"/>
          <w:sz w:val="32"/>
          <w:szCs w:val="32"/>
        </w:rPr>
        <w:t>）</w:t>
      </w:r>
      <w:r w:rsidR="00D401C6">
        <w:rPr>
          <w:rFonts w:ascii="楷体_GB2312" w:eastAsia="楷体_GB2312" w:hAnsi="Calibri" w:cs="Times New Roman" w:hint="eastAsia"/>
          <w:sz w:val="32"/>
          <w:szCs w:val="32"/>
        </w:rPr>
        <w:t>规范</w:t>
      </w:r>
      <w:r w:rsidRPr="00217DE8">
        <w:rPr>
          <w:rFonts w:ascii="楷体_GB2312" w:eastAsia="楷体_GB2312" w:hAnsi="Calibri" w:cs="Times New Roman" w:hint="eastAsia"/>
          <w:sz w:val="32"/>
          <w:szCs w:val="32"/>
        </w:rPr>
        <w:t>科技人才评价流程。</w:t>
      </w:r>
      <w:r w:rsidR="004979B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健全科技人才评价的申报、审核、公示、反馈、申诉、</w:t>
      </w:r>
      <w:r w:rsidR="00A47D2E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检查</w:t>
      </w:r>
      <w:r w:rsidR="005F536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、</w:t>
      </w: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举报、回溯等制度，严格规范评价程序。</w:t>
      </w:r>
      <w:r w:rsidR="00D61304" w:rsidRPr="002C3351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评价过程</w:t>
      </w:r>
      <w:r w:rsidR="00627575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公开</w:t>
      </w:r>
      <w:r w:rsidR="00F374B9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、</w:t>
      </w:r>
      <w:r w:rsidR="00D61304" w:rsidRPr="002C3351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结果公示，对有争议、有问题的</w:t>
      </w:r>
      <w:r w:rsidR="00627575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结果</w:t>
      </w:r>
      <w:r w:rsidR="00D61304" w:rsidRPr="002C3351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，提交相关机构调查处理，对弄虚作假行为</w:t>
      </w:r>
      <w:r w:rsidR="00D61304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建立失信黑名单</w:t>
      </w:r>
      <w:r w:rsidR="00D61304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，</w:t>
      </w:r>
      <w:r w:rsidR="00627575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严肃</w:t>
      </w:r>
      <w:r w:rsidR="00D61304" w:rsidRPr="002C3351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追究责任，推动科研诚信体系建设。加强评价结果共享，避免多头、频繁、重复评价</w:t>
      </w:r>
      <w:r w:rsidR="00D61304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科技</w:t>
      </w:r>
      <w:r w:rsidR="00D61304" w:rsidRPr="002C3351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人才。</w:t>
      </w:r>
    </w:p>
    <w:p w:rsidR="00901BE2" w:rsidRPr="003846A0" w:rsidRDefault="00901BE2" w:rsidP="004979B7">
      <w:pPr>
        <w:spacing w:line="600" w:lineRule="exact"/>
        <w:ind w:firstLineChars="200" w:firstLine="640"/>
        <w:rPr>
          <w:rFonts w:ascii="宋体" w:eastAsia="宋体" w:hAnsi="宋体"/>
          <w:bCs/>
          <w:color w:val="0D0D0D" w:themeColor="text1" w:themeTint="F2"/>
          <w:sz w:val="28"/>
          <w:szCs w:val="28"/>
        </w:rPr>
      </w:pP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遵循科技活动长期性、系统性以及人才成长发展规律，科学合理设置评价考核周期，突出中长期目标导向，适当延长基础研究人才、青年人才等评价考核周期，鼓励持续研究</w:t>
      </w: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lastRenderedPageBreak/>
        <w:t>和长期积累</w:t>
      </w:r>
      <w:r w:rsidR="00BB614D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，注重过程评价和结果评价相结合。</w:t>
      </w:r>
    </w:p>
    <w:p w:rsidR="00CD6207" w:rsidRPr="006C4002" w:rsidRDefault="003732F0" w:rsidP="006C4002">
      <w:pPr>
        <w:spacing w:line="600" w:lineRule="exact"/>
        <w:ind w:firstLineChars="200" w:firstLine="640"/>
        <w:rPr>
          <w:rFonts w:ascii="楷体_GB2312" w:eastAsia="楷体_GB2312" w:hAnsi="Calibri" w:cs="Times New Roman"/>
          <w:sz w:val="32"/>
          <w:szCs w:val="32"/>
        </w:rPr>
      </w:pPr>
      <w:r w:rsidRPr="006C4002">
        <w:rPr>
          <w:rFonts w:ascii="楷体_GB2312" w:eastAsia="楷体_GB2312" w:hAnsi="Calibri" w:cs="Times New Roman" w:hint="eastAsia"/>
          <w:sz w:val="32"/>
          <w:szCs w:val="32"/>
        </w:rPr>
        <w:t>（</w:t>
      </w:r>
      <w:r w:rsidR="004E0A05" w:rsidRPr="006C4002">
        <w:rPr>
          <w:rFonts w:ascii="楷体_GB2312" w:eastAsia="楷体_GB2312" w:hAnsi="Calibri" w:cs="Times New Roman" w:hint="eastAsia"/>
          <w:sz w:val="32"/>
          <w:szCs w:val="32"/>
        </w:rPr>
        <w:t>五</w:t>
      </w:r>
      <w:r w:rsidRPr="006C4002">
        <w:rPr>
          <w:rFonts w:ascii="楷体_GB2312" w:eastAsia="楷体_GB2312" w:hAnsi="Calibri" w:cs="Times New Roman" w:hint="eastAsia"/>
          <w:sz w:val="32"/>
          <w:szCs w:val="32"/>
        </w:rPr>
        <w:t>）健全</w:t>
      </w:r>
      <w:r w:rsidR="009D53D6" w:rsidRPr="006C4002">
        <w:rPr>
          <w:rFonts w:ascii="楷体_GB2312" w:eastAsia="楷体_GB2312" w:hAnsi="Calibri" w:cs="Times New Roman" w:hint="eastAsia"/>
          <w:sz w:val="32"/>
          <w:szCs w:val="32"/>
        </w:rPr>
        <w:t>科技</w:t>
      </w:r>
      <w:r w:rsidRPr="006C4002">
        <w:rPr>
          <w:rFonts w:ascii="楷体_GB2312" w:eastAsia="楷体_GB2312" w:hAnsi="Calibri" w:cs="Times New Roman" w:hint="eastAsia"/>
          <w:sz w:val="32"/>
          <w:szCs w:val="32"/>
        </w:rPr>
        <w:t>人才评价监督机制。</w:t>
      </w:r>
      <w:r w:rsidR="00CD620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完善诚信承诺监督机制。建立诚信档案，签订承诺书，</w:t>
      </w:r>
      <w:r w:rsidR="0033221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将诚信要求融入科技人才评价全过程</w:t>
      </w:r>
      <w:r w:rsidR="00CD620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，对重点环节进行督查。</w:t>
      </w:r>
      <w:r w:rsidR="00CD6207"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建立政府监管、单位（行业）自律、社会监督的人才评价监管体系。</w:t>
      </w:r>
    </w:p>
    <w:p w:rsidR="00157B21" w:rsidRPr="003846A0" w:rsidRDefault="003732F0" w:rsidP="001C26AE">
      <w:pPr>
        <w:spacing w:line="600" w:lineRule="exact"/>
        <w:ind w:firstLineChars="200" w:firstLine="640"/>
        <w:rPr>
          <w:rFonts w:ascii="宋体" w:eastAsia="宋体" w:hAnsi="宋体"/>
          <w:bCs/>
          <w:color w:val="0D0D0D" w:themeColor="text1" w:themeTint="F2"/>
          <w:sz w:val="28"/>
          <w:szCs w:val="28"/>
        </w:rPr>
      </w:pP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推进</w:t>
      </w:r>
      <w:r w:rsidR="001C26AE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科技</w:t>
      </w:r>
      <w:r w:rsidR="00F374B9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人才</w:t>
      </w: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专家库</w:t>
      </w:r>
      <w:r w:rsidR="001C26AE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建设</w:t>
      </w:r>
      <w:r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，实行专家轮换、调整和回避制度，建立评价专家责任和信誉制度。完善容错免责机制，健全科技人才追踪评估与监督反馈机制，增强人才评价透明度。</w:t>
      </w:r>
    </w:p>
    <w:p w:rsidR="009D53D6" w:rsidRPr="006C4002" w:rsidRDefault="009D53D6" w:rsidP="006C4002">
      <w:pPr>
        <w:spacing w:line="600" w:lineRule="exact"/>
        <w:ind w:firstLineChars="200" w:firstLine="640"/>
        <w:rPr>
          <w:rFonts w:ascii="楷体_GB2312" w:eastAsia="楷体_GB2312" w:hAnsi="Calibri" w:cs="Times New Roman"/>
          <w:sz w:val="32"/>
          <w:szCs w:val="32"/>
        </w:rPr>
      </w:pPr>
      <w:r w:rsidRPr="006C4002">
        <w:rPr>
          <w:rFonts w:ascii="楷体_GB2312" w:eastAsia="楷体_GB2312" w:hAnsi="Calibri" w:cs="Times New Roman"/>
          <w:sz w:val="32"/>
          <w:szCs w:val="32"/>
        </w:rPr>
        <w:t>（</w:t>
      </w:r>
      <w:r w:rsidR="004E0A05" w:rsidRPr="006C4002">
        <w:rPr>
          <w:rFonts w:ascii="楷体_GB2312" w:eastAsia="楷体_GB2312" w:hAnsi="Calibri" w:cs="Times New Roman" w:hint="eastAsia"/>
          <w:sz w:val="32"/>
          <w:szCs w:val="32"/>
        </w:rPr>
        <w:t>六</w:t>
      </w:r>
      <w:r w:rsidRPr="006C4002">
        <w:rPr>
          <w:rFonts w:ascii="楷体_GB2312" w:eastAsia="楷体_GB2312" w:hAnsi="Calibri" w:cs="Times New Roman"/>
          <w:sz w:val="32"/>
          <w:szCs w:val="32"/>
        </w:rPr>
        <w:t>）促进</w:t>
      </w:r>
      <w:r w:rsidR="00627575">
        <w:rPr>
          <w:rFonts w:ascii="楷体_GB2312" w:eastAsia="楷体_GB2312" w:hAnsi="Calibri" w:cs="Times New Roman"/>
          <w:sz w:val="32"/>
          <w:szCs w:val="32"/>
        </w:rPr>
        <w:t>科技</w:t>
      </w:r>
      <w:r w:rsidRPr="006C4002">
        <w:rPr>
          <w:rFonts w:ascii="楷体_GB2312" w:eastAsia="楷体_GB2312" w:hAnsi="Calibri" w:cs="Times New Roman"/>
          <w:sz w:val="32"/>
          <w:szCs w:val="32"/>
        </w:rPr>
        <w:t>人才评价和项目</w:t>
      </w:r>
      <w:r w:rsidR="004E0A05" w:rsidRPr="006C4002">
        <w:rPr>
          <w:rFonts w:ascii="楷体_GB2312" w:eastAsia="楷体_GB2312" w:hAnsi="Calibri" w:cs="Times New Roman"/>
          <w:sz w:val="32"/>
          <w:szCs w:val="32"/>
        </w:rPr>
        <w:t>评审</w:t>
      </w:r>
      <w:r w:rsidRPr="006C4002">
        <w:rPr>
          <w:rFonts w:ascii="楷体_GB2312" w:eastAsia="楷体_GB2312" w:hAnsi="Calibri" w:cs="Times New Roman"/>
          <w:sz w:val="32"/>
          <w:szCs w:val="32"/>
        </w:rPr>
        <w:t>与机构评估有机衔接。</w:t>
      </w:r>
      <w:r w:rsidR="00B87DE9" w:rsidRPr="006C4002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深入推进项目评审、人才评价、机构评估改革，</w:t>
      </w:r>
      <w:r w:rsidRPr="006C4002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按照既</w:t>
      </w:r>
      <w:r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出成果、又出人才的要求，在各类工程项目、科技计划、</w:t>
      </w:r>
      <w:r w:rsidR="004E0A05" w:rsidRPr="00CD620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平台载体</w:t>
      </w:r>
      <w:r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等评审评估中加强</w:t>
      </w:r>
      <w:r w:rsidR="0050664D"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科技</w:t>
      </w:r>
      <w:r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人才评价</w:t>
      </w:r>
      <w:r w:rsidR="00974EE9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，</w:t>
      </w:r>
      <w:r w:rsidR="00974EE9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加强</w:t>
      </w:r>
      <w:r w:rsidR="00D24F2E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政府、</w:t>
      </w:r>
      <w:r w:rsidR="00D24F2E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市场</w:t>
      </w:r>
      <w:r w:rsidR="00D24F2E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、</w:t>
      </w:r>
      <w:r w:rsidR="00D24F2E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专业组织</w:t>
      </w:r>
      <w:r w:rsidR="00D24F2E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、</w:t>
      </w:r>
      <w:r w:rsidR="00D24F2E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用人单位</w:t>
      </w:r>
      <w:r w:rsidR="00974EE9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等各类评价主体间的相互配合和协同联动</w:t>
      </w:r>
      <w:r w:rsidR="0050664D" w:rsidRPr="00CD6207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。</w:t>
      </w:r>
      <w:r w:rsidR="004E0A05" w:rsidRPr="00CD6207">
        <w:rPr>
          <w:rFonts w:ascii="华文仿宋" w:eastAsia="华文仿宋" w:hAnsi="华文仿宋" w:hint="eastAsia"/>
          <w:sz w:val="32"/>
          <w:szCs w:val="32"/>
        </w:rPr>
        <w:t>建立人才项目申报查重及处理机制，防止人才申报违规行为</w:t>
      </w:r>
      <w:r w:rsidRPr="00CD6207"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  <w:t>。</w:t>
      </w:r>
    </w:p>
    <w:p w:rsidR="00533F73" w:rsidRPr="006C4002" w:rsidRDefault="0094699B" w:rsidP="006C4002">
      <w:pPr>
        <w:spacing w:line="600" w:lineRule="exact"/>
        <w:ind w:firstLineChars="200" w:firstLine="640"/>
        <w:rPr>
          <w:rFonts w:ascii="黑体" w:eastAsia="黑体" w:hAnsi="黑体"/>
          <w:bCs/>
          <w:color w:val="0D0D0D" w:themeColor="text1" w:themeTint="F2"/>
          <w:sz w:val="32"/>
          <w:szCs w:val="32"/>
        </w:rPr>
      </w:pPr>
      <w:r w:rsidRPr="006C4002">
        <w:rPr>
          <w:rFonts w:ascii="黑体" w:eastAsia="黑体" w:hAnsi="黑体"/>
          <w:bCs/>
          <w:color w:val="0D0D0D" w:themeColor="text1" w:themeTint="F2"/>
          <w:sz w:val="32"/>
          <w:szCs w:val="32"/>
        </w:rPr>
        <w:t>三</w:t>
      </w:r>
      <w:r w:rsidRPr="006C4002">
        <w:rPr>
          <w:rFonts w:ascii="黑体" w:eastAsia="黑体" w:hAnsi="黑体" w:hint="eastAsia"/>
          <w:bCs/>
          <w:color w:val="0D0D0D" w:themeColor="text1" w:themeTint="F2"/>
          <w:sz w:val="32"/>
          <w:szCs w:val="32"/>
        </w:rPr>
        <w:t>、</w:t>
      </w:r>
      <w:r w:rsidR="006C4002">
        <w:rPr>
          <w:rFonts w:ascii="黑体" w:eastAsia="黑体" w:hAnsi="黑体" w:hint="eastAsia"/>
          <w:bCs/>
          <w:color w:val="0D0D0D" w:themeColor="text1" w:themeTint="F2"/>
          <w:sz w:val="32"/>
          <w:szCs w:val="32"/>
        </w:rPr>
        <w:t>组织保障</w:t>
      </w:r>
    </w:p>
    <w:p w:rsidR="0094699B" w:rsidRPr="002C3351" w:rsidRDefault="00B66BCE" w:rsidP="002C3351">
      <w:pPr>
        <w:spacing w:line="600" w:lineRule="exact"/>
        <w:ind w:firstLineChars="200" w:firstLine="640"/>
        <w:rPr>
          <w:rFonts w:ascii="华文仿宋" w:eastAsia="华文仿宋" w:hAnsi="华文仿宋"/>
          <w:bCs/>
          <w:color w:val="0D0D0D" w:themeColor="text1" w:themeTint="F2"/>
          <w:sz w:val="32"/>
          <w:szCs w:val="32"/>
        </w:rPr>
      </w:pPr>
      <w:r w:rsidRPr="006C4002">
        <w:rPr>
          <w:rFonts w:ascii="楷体_GB2312" w:eastAsia="楷体_GB2312" w:hAnsi="Calibri" w:cs="Times New Roman" w:hint="eastAsia"/>
          <w:sz w:val="32"/>
          <w:szCs w:val="32"/>
        </w:rPr>
        <w:t>（一）加强</w:t>
      </w:r>
      <w:r w:rsidR="00144336" w:rsidRPr="006C4002">
        <w:rPr>
          <w:rFonts w:ascii="楷体_GB2312" w:eastAsia="楷体_GB2312" w:hAnsi="Calibri" w:cs="Times New Roman" w:hint="eastAsia"/>
          <w:sz w:val="32"/>
          <w:szCs w:val="32"/>
        </w:rPr>
        <w:t>组织领导</w:t>
      </w:r>
      <w:r w:rsidRPr="006C4002">
        <w:rPr>
          <w:rFonts w:ascii="楷体_GB2312" w:eastAsia="楷体_GB2312" w:hAnsi="Calibri" w:cs="Times New Roman" w:hint="eastAsia"/>
          <w:sz w:val="32"/>
          <w:szCs w:val="32"/>
        </w:rPr>
        <w:t>。</w:t>
      </w:r>
      <w:r w:rsidR="00646B7B"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科技人才评价机制改革是人才机制体制改革的重要组成部分，相关单位要坚持党管人才原则，</w:t>
      </w:r>
      <w:r w:rsidR="006C4002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各司其职、密切配合，结合各自实际制定具体配套制度，</w:t>
      </w:r>
      <w:r w:rsidR="00144336"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扎实推进科技人才评价机制改革工作</w:t>
      </w:r>
      <w:r w:rsidR="00F374B9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落地落实</w:t>
      </w:r>
      <w:r w:rsidR="00144336"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。</w:t>
      </w:r>
    </w:p>
    <w:p w:rsidR="00144336" w:rsidRPr="002C3351" w:rsidRDefault="00144336" w:rsidP="002C3351">
      <w:pPr>
        <w:spacing w:line="60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6C4002">
        <w:rPr>
          <w:rFonts w:ascii="楷体_GB2312" w:eastAsia="楷体_GB2312" w:hAnsi="Calibri" w:cs="Times New Roman" w:hint="eastAsia"/>
          <w:sz w:val="32"/>
          <w:szCs w:val="32"/>
        </w:rPr>
        <w:t>（二）加强统筹协调。</w:t>
      </w:r>
      <w:r w:rsidR="00CD0D86"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科技人才评价机制改革是深化项目评审、人才评价、机构评估改革的重要组成</w:t>
      </w:r>
      <w:r w:rsidR="00F374B9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部分</w:t>
      </w:r>
      <w:r w:rsidR="00CD0D86"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。</w:t>
      </w:r>
      <w:r w:rsidR="00BB06EC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政府、</w:t>
      </w:r>
      <w:r w:rsidR="00BB06EC" w:rsidRPr="002C3351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lastRenderedPageBreak/>
        <w:t>市场、</w:t>
      </w:r>
      <w:r w:rsidR="00BB06EC">
        <w:rPr>
          <w:rFonts w:ascii="华文仿宋" w:eastAsia="华文仿宋" w:hAnsi="华文仿宋" w:hint="eastAsia"/>
          <w:bCs/>
          <w:color w:val="0D0D0D" w:themeColor="text1" w:themeTint="F2"/>
          <w:sz w:val="32"/>
          <w:szCs w:val="32"/>
        </w:rPr>
        <w:t>专业组织、用人单位</w:t>
      </w:r>
      <w:r w:rsidR="00CD0D86" w:rsidRPr="002C3351">
        <w:rPr>
          <w:rFonts w:ascii="华文仿宋" w:eastAsia="华文仿宋" w:hAnsi="华文仿宋" w:cs="仿宋" w:hint="eastAsia"/>
          <w:sz w:val="32"/>
          <w:szCs w:val="32"/>
        </w:rPr>
        <w:t>等各类评价主体间</w:t>
      </w:r>
      <w:r w:rsidR="00EC4D97" w:rsidRPr="002C3351">
        <w:rPr>
          <w:rFonts w:ascii="华文仿宋" w:eastAsia="华文仿宋" w:hAnsi="华文仿宋" w:cs="仿宋" w:hint="eastAsia"/>
          <w:sz w:val="32"/>
          <w:szCs w:val="32"/>
        </w:rPr>
        <w:t>需加强</w:t>
      </w:r>
      <w:r w:rsidR="00CD0D86" w:rsidRPr="002C3351">
        <w:rPr>
          <w:rFonts w:ascii="华文仿宋" w:eastAsia="华文仿宋" w:hAnsi="华文仿宋" w:cs="仿宋" w:hint="eastAsia"/>
          <w:sz w:val="32"/>
          <w:szCs w:val="32"/>
        </w:rPr>
        <w:t>相互配合和协同联动，强化“三评”之间的统筹协调</w:t>
      </w:r>
      <w:r w:rsidR="00F374B9">
        <w:rPr>
          <w:rFonts w:ascii="华文仿宋" w:eastAsia="华文仿宋" w:hAnsi="华文仿宋" w:cs="仿宋" w:hint="eastAsia"/>
          <w:sz w:val="32"/>
          <w:szCs w:val="32"/>
        </w:rPr>
        <w:t>，增强人才评价的整体效能</w:t>
      </w:r>
      <w:r w:rsidR="00CD0D86" w:rsidRPr="002C3351">
        <w:rPr>
          <w:rFonts w:ascii="华文仿宋" w:eastAsia="华文仿宋" w:hAnsi="华文仿宋" w:cs="仿宋" w:hint="eastAsia"/>
          <w:sz w:val="32"/>
          <w:szCs w:val="32"/>
        </w:rPr>
        <w:t>。</w:t>
      </w:r>
    </w:p>
    <w:p w:rsidR="00EC4D97" w:rsidRPr="00100C68" w:rsidRDefault="002E7973" w:rsidP="00100C68">
      <w:pPr>
        <w:spacing w:line="60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6C4002">
        <w:rPr>
          <w:rFonts w:ascii="楷体_GB2312" w:eastAsia="楷体_GB2312" w:hAnsi="Calibri" w:cs="Times New Roman" w:hint="eastAsia"/>
          <w:sz w:val="32"/>
          <w:szCs w:val="32"/>
        </w:rPr>
        <w:t>（三）加强政策宣传。</w:t>
      </w:r>
      <w:r w:rsidR="00EC4D97" w:rsidRPr="002C3351">
        <w:rPr>
          <w:rFonts w:ascii="华文仿宋" w:eastAsia="华文仿宋" w:hAnsi="华文仿宋" w:cs="仿宋" w:hint="eastAsia"/>
          <w:sz w:val="32"/>
          <w:szCs w:val="32"/>
        </w:rPr>
        <w:t>相关单位要充分认识科技人才评价机制改革的重要性，</w:t>
      </w:r>
      <w:r w:rsidR="006C4002">
        <w:rPr>
          <w:rFonts w:ascii="华文仿宋" w:eastAsia="华文仿宋" w:hAnsi="华文仿宋" w:cs="仿宋" w:hint="eastAsia"/>
          <w:sz w:val="32"/>
          <w:szCs w:val="32"/>
        </w:rPr>
        <w:t>认真抓好组织落实和宣传工作，要加强政策解读和舆论引导，为分类推进科技人才评价机制改革营造良好氛围</w:t>
      </w:r>
      <w:r w:rsidR="00EC4D97" w:rsidRPr="002C3351">
        <w:rPr>
          <w:rFonts w:ascii="华文仿宋" w:eastAsia="华文仿宋" w:hAnsi="华文仿宋" w:cs="仿宋" w:hint="eastAsia"/>
          <w:sz w:val="32"/>
          <w:szCs w:val="32"/>
        </w:rPr>
        <w:t>。</w:t>
      </w:r>
    </w:p>
    <w:p w:rsidR="00144336" w:rsidRPr="00B66BCE" w:rsidRDefault="00144336" w:rsidP="00B66BCE">
      <w:pPr>
        <w:spacing w:line="600" w:lineRule="exact"/>
        <w:ind w:firstLineChars="200" w:firstLine="560"/>
        <w:rPr>
          <w:rFonts w:ascii="宋体" w:eastAsia="宋体" w:hAnsi="宋体"/>
          <w:bCs/>
          <w:color w:val="0D0D0D" w:themeColor="text1" w:themeTint="F2"/>
          <w:sz w:val="28"/>
          <w:szCs w:val="28"/>
        </w:rPr>
      </w:pPr>
    </w:p>
    <w:sectPr w:rsidR="00144336" w:rsidRPr="00B66BCE" w:rsidSect="009A0AF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CE" w:rsidRDefault="00F420CE" w:rsidP="00CD2B93">
      <w:r>
        <w:separator/>
      </w:r>
    </w:p>
  </w:endnote>
  <w:endnote w:type="continuationSeparator" w:id="1">
    <w:p w:rsidR="00F420CE" w:rsidRDefault="00F420CE" w:rsidP="00CD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456250572"/>
      <w:docPartObj>
        <w:docPartGallery w:val="Page Numbers (Bottom of Page)"/>
        <w:docPartUnique/>
      </w:docPartObj>
    </w:sdtPr>
    <w:sdtContent>
      <w:p w:rsidR="009A0AF3" w:rsidRDefault="000E490A" w:rsidP="00AE032F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9A0AF3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9A0AF3" w:rsidRDefault="009A0A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19032"/>
      <w:docPartObj>
        <w:docPartGallery w:val="Page Numbers (Bottom of Page)"/>
        <w:docPartUnique/>
      </w:docPartObj>
    </w:sdtPr>
    <w:sdtContent>
      <w:p w:rsidR="002C3351" w:rsidRDefault="000E490A">
        <w:pPr>
          <w:pStyle w:val="a3"/>
          <w:jc w:val="center"/>
        </w:pPr>
        <w:fldSimple w:instr=" PAGE   \* MERGEFORMAT ">
          <w:r w:rsidR="00D24F2E" w:rsidRPr="00D24F2E">
            <w:rPr>
              <w:noProof/>
              <w:lang w:val="zh-CN"/>
            </w:rPr>
            <w:t>5</w:t>
          </w:r>
        </w:fldSimple>
      </w:p>
    </w:sdtContent>
  </w:sdt>
  <w:p w:rsidR="009A0AF3" w:rsidRDefault="009A0A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CE" w:rsidRDefault="00F420CE" w:rsidP="00CD2B93">
      <w:r>
        <w:separator/>
      </w:r>
    </w:p>
  </w:footnote>
  <w:footnote w:type="continuationSeparator" w:id="1">
    <w:p w:rsidR="00F420CE" w:rsidRDefault="00F420CE" w:rsidP="00CD2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4CC"/>
    <w:multiLevelType w:val="hybridMultilevel"/>
    <w:tmpl w:val="6FFCAA0E"/>
    <w:lvl w:ilvl="0" w:tplc="E814E9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C39D4"/>
    <w:multiLevelType w:val="hybridMultilevel"/>
    <w:tmpl w:val="CF06C160"/>
    <w:lvl w:ilvl="0" w:tplc="60B8E2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D6B3C"/>
    <w:multiLevelType w:val="multilevel"/>
    <w:tmpl w:val="310D6B3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7E3F6E"/>
    <w:multiLevelType w:val="hybridMultilevel"/>
    <w:tmpl w:val="4DB2383A"/>
    <w:lvl w:ilvl="0" w:tplc="0C464B0A">
      <w:start w:val="1"/>
      <w:numFmt w:val="japaneseCounting"/>
      <w:lvlText w:val="（%1）"/>
      <w:lvlJc w:val="left"/>
      <w:pPr>
        <w:ind w:left="1927" w:hanging="13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638F26C6"/>
    <w:multiLevelType w:val="hybridMultilevel"/>
    <w:tmpl w:val="B59CBFD6"/>
    <w:lvl w:ilvl="0" w:tplc="1A92C8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B23"/>
    <w:rsid w:val="0001468C"/>
    <w:rsid w:val="00027C7F"/>
    <w:rsid w:val="00030781"/>
    <w:rsid w:val="00031BE4"/>
    <w:rsid w:val="0003657A"/>
    <w:rsid w:val="000473FD"/>
    <w:rsid w:val="0005252D"/>
    <w:rsid w:val="00055104"/>
    <w:rsid w:val="000572E4"/>
    <w:rsid w:val="00065AE1"/>
    <w:rsid w:val="000666B6"/>
    <w:rsid w:val="000679EF"/>
    <w:rsid w:val="00083F50"/>
    <w:rsid w:val="000A4585"/>
    <w:rsid w:val="000A5153"/>
    <w:rsid w:val="000C017B"/>
    <w:rsid w:val="000C28F6"/>
    <w:rsid w:val="000D3992"/>
    <w:rsid w:val="000E484D"/>
    <w:rsid w:val="000E490A"/>
    <w:rsid w:val="000E5D6F"/>
    <w:rsid w:val="00100C68"/>
    <w:rsid w:val="00101F30"/>
    <w:rsid w:val="00112245"/>
    <w:rsid w:val="001238E7"/>
    <w:rsid w:val="001325CD"/>
    <w:rsid w:val="001411A5"/>
    <w:rsid w:val="00142FE7"/>
    <w:rsid w:val="00144336"/>
    <w:rsid w:val="00146859"/>
    <w:rsid w:val="00154E3C"/>
    <w:rsid w:val="00157B21"/>
    <w:rsid w:val="001618C0"/>
    <w:rsid w:val="00162080"/>
    <w:rsid w:val="001646A8"/>
    <w:rsid w:val="00172FB5"/>
    <w:rsid w:val="00173E0D"/>
    <w:rsid w:val="00176110"/>
    <w:rsid w:val="00181FA7"/>
    <w:rsid w:val="001875DF"/>
    <w:rsid w:val="00190E9A"/>
    <w:rsid w:val="00192B1E"/>
    <w:rsid w:val="0019663A"/>
    <w:rsid w:val="001C190E"/>
    <w:rsid w:val="001C26AE"/>
    <w:rsid w:val="001C635F"/>
    <w:rsid w:val="001C717B"/>
    <w:rsid w:val="001D4840"/>
    <w:rsid w:val="001E381C"/>
    <w:rsid w:val="001E4E9F"/>
    <w:rsid w:val="001F45E6"/>
    <w:rsid w:val="001F5402"/>
    <w:rsid w:val="001F59B1"/>
    <w:rsid w:val="001F5A9F"/>
    <w:rsid w:val="001F625C"/>
    <w:rsid w:val="00201AEF"/>
    <w:rsid w:val="00202944"/>
    <w:rsid w:val="00207A34"/>
    <w:rsid w:val="002166BD"/>
    <w:rsid w:val="00217DE8"/>
    <w:rsid w:val="0022239B"/>
    <w:rsid w:val="00230472"/>
    <w:rsid w:val="00232F63"/>
    <w:rsid w:val="002342F3"/>
    <w:rsid w:val="00235B23"/>
    <w:rsid w:val="00242983"/>
    <w:rsid w:val="00252A7E"/>
    <w:rsid w:val="0025536F"/>
    <w:rsid w:val="0027610D"/>
    <w:rsid w:val="00276C50"/>
    <w:rsid w:val="0028259F"/>
    <w:rsid w:val="00282D33"/>
    <w:rsid w:val="00292541"/>
    <w:rsid w:val="0029724E"/>
    <w:rsid w:val="002A51B9"/>
    <w:rsid w:val="002B4379"/>
    <w:rsid w:val="002B528A"/>
    <w:rsid w:val="002C3351"/>
    <w:rsid w:val="002C4820"/>
    <w:rsid w:val="002C640D"/>
    <w:rsid w:val="002C67C9"/>
    <w:rsid w:val="002C7FF0"/>
    <w:rsid w:val="002D0A87"/>
    <w:rsid w:val="002D6303"/>
    <w:rsid w:val="002E0114"/>
    <w:rsid w:val="002E0FF3"/>
    <w:rsid w:val="002E7973"/>
    <w:rsid w:val="002F0B61"/>
    <w:rsid w:val="0030399A"/>
    <w:rsid w:val="00313D0C"/>
    <w:rsid w:val="00315E70"/>
    <w:rsid w:val="003257B1"/>
    <w:rsid w:val="00325EAD"/>
    <w:rsid w:val="00332211"/>
    <w:rsid w:val="00335ADA"/>
    <w:rsid w:val="003412D6"/>
    <w:rsid w:val="0035390B"/>
    <w:rsid w:val="00354A77"/>
    <w:rsid w:val="0035560B"/>
    <w:rsid w:val="0035596F"/>
    <w:rsid w:val="003565AE"/>
    <w:rsid w:val="00356AB8"/>
    <w:rsid w:val="003732F0"/>
    <w:rsid w:val="00382F0B"/>
    <w:rsid w:val="003831A0"/>
    <w:rsid w:val="003835CA"/>
    <w:rsid w:val="003846A0"/>
    <w:rsid w:val="00391E81"/>
    <w:rsid w:val="00392364"/>
    <w:rsid w:val="00394775"/>
    <w:rsid w:val="00396E2C"/>
    <w:rsid w:val="003A099C"/>
    <w:rsid w:val="003A5593"/>
    <w:rsid w:val="003A7C48"/>
    <w:rsid w:val="003B0847"/>
    <w:rsid w:val="003B173E"/>
    <w:rsid w:val="003B487D"/>
    <w:rsid w:val="003C6BFF"/>
    <w:rsid w:val="003C73B2"/>
    <w:rsid w:val="003D22D7"/>
    <w:rsid w:val="003D535D"/>
    <w:rsid w:val="003D6F63"/>
    <w:rsid w:val="004045E9"/>
    <w:rsid w:val="00406B6E"/>
    <w:rsid w:val="00412986"/>
    <w:rsid w:val="00426422"/>
    <w:rsid w:val="004271CF"/>
    <w:rsid w:val="004327B0"/>
    <w:rsid w:val="00432F20"/>
    <w:rsid w:val="00433408"/>
    <w:rsid w:val="00447596"/>
    <w:rsid w:val="004504BA"/>
    <w:rsid w:val="004528C2"/>
    <w:rsid w:val="00457460"/>
    <w:rsid w:val="00460E8A"/>
    <w:rsid w:val="00463AA1"/>
    <w:rsid w:val="0046511B"/>
    <w:rsid w:val="00466853"/>
    <w:rsid w:val="00474B1C"/>
    <w:rsid w:val="004753BF"/>
    <w:rsid w:val="00485938"/>
    <w:rsid w:val="004924D7"/>
    <w:rsid w:val="004930C6"/>
    <w:rsid w:val="004979B7"/>
    <w:rsid w:val="004A684F"/>
    <w:rsid w:val="004B4A9F"/>
    <w:rsid w:val="004B5433"/>
    <w:rsid w:val="004B7A48"/>
    <w:rsid w:val="004C440B"/>
    <w:rsid w:val="004C5FA4"/>
    <w:rsid w:val="004D305C"/>
    <w:rsid w:val="004D4669"/>
    <w:rsid w:val="004E0A05"/>
    <w:rsid w:val="004E52F5"/>
    <w:rsid w:val="004E676F"/>
    <w:rsid w:val="004F066C"/>
    <w:rsid w:val="004F2EB3"/>
    <w:rsid w:val="004F58DD"/>
    <w:rsid w:val="004F72DE"/>
    <w:rsid w:val="004F7A44"/>
    <w:rsid w:val="0050664D"/>
    <w:rsid w:val="00506BA1"/>
    <w:rsid w:val="005107F0"/>
    <w:rsid w:val="00510A56"/>
    <w:rsid w:val="00533F73"/>
    <w:rsid w:val="00534102"/>
    <w:rsid w:val="005474E7"/>
    <w:rsid w:val="0056378D"/>
    <w:rsid w:val="005644E2"/>
    <w:rsid w:val="00566977"/>
    <w:rsid w:val="00566A00"/>
    <w:rsid w:val="00566BAF"/>
    <w:rsid w:val="0057631B"/>
    <w:rsid w:val="005902C8"/>
    <w:rsid w:val="00590D81"/>
    <w:rsid w:val="005926C6"/>
    <w:rsid w:val="005934F3"/>
    <w:rsid w:val="0059374E"/>
    <w:rsid w:val="005B2E1F"/>
    <w:rsid w:val="005B5D29"/>
    <w:rsid w:val="005C2B46"/>
    <w:rsid w:val="005C4070"/>
    <w:rsid w:val="005C524F"/>
    <w:rsid w:val="005D0AAE"/>
    <w:rsid w:val="005E1C47"/>
    <w:rsid w:val="005E52E6"/>
    <w:rsid w:val="005E7C16"/>
    <w:rsid w:val="005F5367"/>
    <w:rsid w:val="00611B9B"/>
    <w:rsid w:val="00615834"/>
    <w:rsid w:val="00627575"/>
    <w:rsid w:val="006323FB"/>
    <w:rsid w:val="00640748"/>
    <w:rsid w:val="00646B7B"/>
    <w:rsid w:val="00653206"/>
    <w:rsid w:val="00664C42"/>
    <w:rsid w:val="006663F3"/>
    <w:rsid w:val="006715C3"/>
    <w:rsid w:val="006737E1"/>
    <w:rsid w:val="00682EF6"/>
    <w:rsid w:val="0068391A"/>
    <w:rsid w:val="00687646"/>
    <w:rsid w:val="00692FE4"/>
    <w:rsid w:val="006940F3"/>
    <w:rsid w:val="006A3E88"/>
    <w:rsid w:val="006A45F2"/>
    <w:rsid w:val="006C4002"/>
    <w:rsid w:val="006C4ECB"/>
    <w:rsid w:val="006C7D1A"/>
    <w:rsid w:val="006D4360"/>
    <w:rsid w:val="006D5CCE"/>
    <w:rsid w:val="006D77A6"/>
    <w:rsid w:val="006E1811"/>
    <w:rsid w:val="006E313E"/>
    <w:rsid w:val="006E59F0"/>
    <w:rsid w:val="006F57C3"/>
    <w:rsid w:val="007052F3"/>
    <w:rsid w:val="007054CA"/>
    <w:rsid w:val="00707A08"/>
    <w:rsid w:val="00710FAA"/>
    <w:rsid w:val="007200F2"/>
    <w:rsid w:val="007208C4"/>
    <w:rsid w:val="00720FA5"/>
    <w:rsid w:val="00723E92"/>
    <w:rsid w:val="00725DC8"/>
    <w:rsid w:val="00736A60"/>
    <w:rsid w:val="00746C06"/>
    <w:rsid w:val="00770FF1"/>
    <w:rsid w:val="00777C61"/>
    <w:rsid w:val="00780337"/>
    <w:rsid w:val="00781430"/>
    <w:rsid w:val="00787BE6"/>
    <w:rsid w:val="00790DAE"/>
    <w:rsid w:val="007922FD"/>
    <w:rsid w:val="00793218"/>
    <w:rsid w:val="007A2B6E"/>
    <w:rsid w:val="007A7BD6"/>
    <w:rsid w:val="007B6082"/>
    <w:rsid w:val="007B6DE7"/>
    <w:rsid w:val="007C2CF7"/>
    <w:rsid w:val="007C7DBC"/>
    <w:rsid w:val="007E0035"/>
    <w:rsid w:val="007F6FF6"/>
    <w:rsid w:val="008040A3"/>
    <w:rsid w:val="008121BB"/>
    <w:rsid w:val="008158E8"/>
    <w:rsid w:val="0082490E"/>
    <w:rsid w:val="00831C91"/>
    <w:rsid w:val="00834A63"/>
    <w:rsid w:val="00835115"/>
    <w:rsid w:val="00835AC8"/>
    <w:rsid w:val="008456BF"/>
    <w:rsid w:val="008456C5"/>
    <w:rsid w:val="00845ADA"/>
    <w:rsid w:val="00846904"/>
    <w:rsid w:val="00852E29"/>
    <w:rsid w:val="008713B6"/>
    <w:rsid w:val="00881215"/>
    <w:rsid w:val="0088430B"/>
    <w:rsid w:val="00885D2C"/>
    <w:rsid w:val="0088767A"/>
    <w:rsid w:val="008941A1"/>
    <w:rsid w:val="00896D22"/>
    <w:rsid w:val="00897242"/>
    <w:rsid w:val="008A11CA"/>
    <w:rsid w:val="008A45F6"/>
    <w:rsid w:val="008A5914"/>
    <w:rsid w:val="008A6187"/>
    <w:rsid w:val="008A6FF1"/>
    <w:rsid w:val="008C7FAA"/>
    <w:rsid w:val="008D60F8"/>
    <w:rsid w:val="008D62F1"/>
    <w:rsid w:val="008E0FB2"/>
    <w:rsid w:val="008E32AC"/>
    <w:rsid w:val="008E4AE1"/>
    <w:rsid w:val="008E691A"/>
    <w:rsid w:val="008F1595"/>
    <w:rsid w:val="00901BE2"/>
    <w:rsid w:val="00903797"/>
    <w:rsid w:val="00915329"/>
    <w:rsid w:val="00921E01"/>
    <w:rsid w:val="009276C9"/>
    <w:rsid w:val="00932300"/>
    <w:rsid w:val="00932F2B"/>
    <w:rsid w:val="009373F5"/>
    <w:rsid w:val="0094699B"/>
    <w:rsid w:val="00952296"/>
    <w:rsid w:val="009549AB"/>
    <w:rsid w:val="0095686E"/>
    <w:rsid w:val="00960D2E"/>
    <w:rsid w:val="0096561D"/>
    <w:rsid w:val="00965EFF"/>
    <w:rsid w:val="00966924"/>
    <w:rsid w:val="00974EE9"/>
    <w:rsid w:val="00977CDF"/>
    <w:rsid w:val="00986D12"/>
    <w:rsid w:val="009904AE"/>
    <w:rsid w:val="009A0AF3"/>
    <w:rsid w:val="009A18C3"/>
    <w:rsid w:val="009A7743"/>
    <w:rsid w:val="009B2D91"/>
    <w:rsid w:val="009B3B36"/>
    <w:rsid w:val="009C7E30"/>
    <w:rsid w:val="009D53D6"/>
    <w:rsid w:val="00A02326"/>
    <w:rsid w:val="00A05819"/>
    <w:rsid w:val="00A13390"/>
    <w:rsid w:val="00A15705"/>
    <w:rsid w:val="00A212C1"/>
    <w:rsid w:val="00A2216E"/>
    <w:rsid w:val="00A23658"/>
    <w:rsid w:val="00A24312"/>
    <w:rsid w:val="00A334DF"/>
    <w:rsid w:val="00A41AA2"/>
    <w:rsid w:val="00A47D2E"/>
    <w:rsid w:val="00A657AC"/>
    <w:rsid w:val="00A66DF0"/>
    <w:rsid w:val="00A71786"/>
    <w:rsid w:val="00A73C54"/>
    <w:rsid w:val="00A76731"/>
    <w:rsid w:val="00A7711E"/>
    <w:rsid w:val="00A8580F"/>
    <w:rsid w:val="00A9433E"/>
    <w:rsid w:val="00A9632E"/>
    <w:rsid w:val="00AA3F06"/>
    <w:rsid w:val="00AC616A"/>
    <w:rsid w:val="00AC7DCA"/>
    <w:rsid w:val="00AD1A3E"/>
    <w:rsid w:val="00AD2DD7"/>
    <w:rsid w:val="00AD4DF1"/>
    <w:rsid w:val="00AD51DE"/>
    <w:rsid w:val="00AD5CE4"/>
    <w:rsid w:val="00AF2A55"/>
    <w:rsid w:val="00B03822"/>
    <w:rsid w:val="00B04E6F"/>
    <w:rsid w:val="00B149B4"/>
    <w:rsid w:val="00B14F3E"/>
    <w:rsid w:val="00B26999"/>
    <w:rsid w:val="00B3379C"/>
    <w:rsid w:val="00B45F83"/>
    <w:rsid w:val="00B57F1A"/>
    <w:rsid w:val="00B613A7"/>
    <w:rsid w:val="00B62A9D"/>
    <w:rsid w:val="00B63160"/>
    <w:rsid w:val="00B66BCE"/>
    <w:rsid w:val="00B704DE"/>
    <w:rsid w:val="00B80540"/>
    <w:rsid w:val="00B81FDB"/>
    <w:rsid w:val="00B85397"/>
    <w:rsid w:val="00B87DE9"/>
    <w:rsid w:val="00BA48C6"/>
    <w:rsid w:val="00BB06EC"/>
    <w:rsid w:val="00BB614D"/>
    <w:rsid w:val="00BC4B0B"/>
    <w:rsid w:val="00BC7406"/>
    <w:rsid w:val="00BE7B75"/>
    <w:rsid w:val="00BE7FD7"/>
    <w:rsid w:val="00BF7B5D"/>
    <w:rsid w:val="00C0071A"/>
    <w:rsid w:val="00C10A7D"/>
    <w:rsid w:val="00C15E49"/>
    <w:rsid w:val="00C20BE6"/>
    <w:rsid w:val="00C231BA"/>
    <w:rsid w:val="00C31B72"/>
    <w:rsid w:val="00C40845"/>
    <w:rsid w:val="00C5370E"/>
    <w:rsid w:val="00C54B45"/>
    <w:rsid w:val="00C56CDD"/>
    <w:rsid w:val="00C625DA"/>
    <w:rsid w:val="00C6783B"/>
    <w:rsid w:val="00C71011"/>
    <w:rsid w:val="00C743E3"/>
    <w:rsid w:val="00C74B44"/>
    <w:rsid w:val="00C76079"/>
    <w:rsid w:val="00C82CFF"/>
    <w:rsid w:val="00C848BB"/>
    <w:rsid w:val="00C87995"/>
    <w:rsid w:val="00C9143E"/>
    <w:rsid w:val="00C94FB4"/>
    <w:rsid w:val="00CB0FB8"/>
    <w:rsid w:val="00CB2761"/>
    <w:rsid w:val="00CB33B9"/>
    <w:rsid w:val="00CB775C"/>
    <w:rsid w:val="00CC2DEF"/>
    <w:rsid w:val="00CC4EF1"/>
    <w:rsid w:val="00CC6C9E"/>
    <w:rsid w:val="00CC792C"/>
    <w:rsid w:val="00CD0D86"/>
    <w:rsid w:val="00CD2B93"/>
    <w:rsid w:val="00CD6207"/>
    <w:rsid w:val="00CE07C8"/>
    <w:rsid w:val="00CE5CA4"/>
    <w:rsid w:val="00CE5D43"/>
    <w:rsid w:val="00CF071E"/>
    <w:rsid w:val="00CF4793"/>
    <w:rsid w:val="00D01839"/>
    <w:rsid w:val="00D074B5"/>
    <w:rsid w:val="00D135C6"/>
    <w:rsid w:val="00D137F5"/>
    <w:rsid w:val="00D21E91"/>
    <w:rsid w:val="00D24F2E"/>
    <w:rsid w:val="00D3661B"/>
    <w:rsid w:val="00D36955"/>
    <w:rsid w:val="00D401C6"/>
    <w:rsid w:val="00D40980"/>
    <w:rsid w:val="00D43AC5"/>
    <w:rsid w:val="00D45350"/>
    <w:rsid w:val="00D50562"/>
    <w:rsid w:val="00D61304"/>
    <w:rsid w:val="00D64588"/>
    <w:rsid w:val="00D67E54"/>
    <w:rsid w:val="00D73B87"/>
    <w:rsid w:val="00D80FD0"/>
    <w:rsid w:val="00D81598"/>
    <w:rsid w:val="00D82A0E"/>
    <w:rsid w:val="00D922C8"/>
    <w:rsid w:val="00D92ED5"/>
    <w:rsid w:val="00DA6062"/>
    <w:rsid w:val="00DB0958"/>
    <w:rsid w:val="00DB427F"/>
    <w:rsid w:val="00DD093D"/>
    <w:rsid w:val="00DD14F2"/>
    <w:rsid w:val="00DD3143"/>
    <w:rsid w:val="00DE1DDE"/>
    <w:rsid w:val="00DE4AB5"/>
    <w:rsid w:val="00DE6A3F"/>
    <w:rsid w:val="00DF7DB5"/>
    <w:rsid w:val="00E01542"/>
    <w:rsid w:val="00E154A0"/>
    <w:rsid w:val="00E16815"/>
    <w:rsid w:val="00E16FDA"/>
    <w:rsid w:val="00E5608F"/>
    <w:rsid w:val="00E63F23"/>
    <w:rsid w:val="00E700BC"/>
    <w:rsid w:val="00E714C0"/>
    <w:rsid w:val="00E726FF"/>
    <w:rsid w:val="00E75969"/>
    <w:rsid w:val="00E75B35"/>
    <w:rsid w:val="00E83390"/>
    <w:rsid w:val="00E90654"/>
    <w:rsid w:val="00E96CFC"/>
    <w:rsid w:val="00EA4D57"/>
    <w:rsid w:val="00EA6977"/>
    <w:rsid w:val="00EB1B25"/>
    <w:rsid w:val="00EC1213"/>
    <w:rsid w:val="00EC4D97"/>
    <w:rsid w:val="00ED1499"/>
    <w:rsid w:val="00ED37F9"/>
    <w:rsid w:val="00ED6745"/>
    <w:rsid w:val="00EE2D86"/>
    <w:rsid w:val="00EE4EF6"/>
    <w:rsid w:val="00EF698F"/>
    <w:rsid w:val="00F0380B"/>
    <w:rsid w:val="00F13329"/>
    <w:rsid w:val="00F22C09"/>
    <w:rsid w:val="00F2338E"/>
    <w:rsid w:val="00F23798"/>
    <w:rsid w:val="00F32476"/>
    <w:rsid w:val="00F374B9"/>
    <w:rsid w:val="00F4130C"/>
    <w:rsid w:val="00F4183B"/>
    <w:rsid w:val="00F420CE"/>
    <w:rsid w:val="00F43AEE"/>
    <w:rsid w:val="00F54ED0"/>
    <w:rsid w:val="00F56574"/>
    <w:rsid w:val="00F56A53"/>
    <w:rsid w:val="00F61C39"/>
    <w:rsid w:val="00F6257A"/>
    <w:rsid w:val="00F77D3D"/>
    <w:rsid w:val="00FA0DDC"/>
    <w:rsid w:val="00FA5231"/>
    <w:rsid w:val="00FA52D2"/>
    <w:rsid w:val="00FB5265"/>
    <w:rsid w:val="00FB7EB4"/>
    <w:rsid w:val="00FE509B"/>
    <w:rsid w:val="00FF00FF"/>
    <w:rsid w:val="00FF7665"/>
    <w:rsid w:val="2AEA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0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3B08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0847"/>
    <w:rPr>
      <w:sz w:val="18"/>
      <w:szCs w:val="18"/>
    </w:rPr>
  </w:style>
  <w:style w:type="paragraph" w:styleId="a6">
    <w:name w:val="List Paragraph"/>
    <w:basedOn w:val="a"/>
    <w:uiPriority w:val="34"/>
    <w:qFormat/>
    <w:rsid w:val="003B0847"/>
    <w:pPr>
      <w:ind w:firstLineChars="200" w:firstLine="420"/>
    </w:pPr>
  </w:style>
  <w:style w:type="character" w:styleId="a7">
    <w:name w:val="page number"/>
    <w:basedOn w:val="a0"/>
    <w:uiPriority w:val="99"/>
    <w:semiHidden/>
    <w:unhideWhenUsed/>
    <w:rsid w:val="009A0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1754A-B8B1-4715-A8BB-15081F96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346</Words>
  <Characters>1975</Characters>
  <Application>Microsoft Office Word</Application>
  <DocSecurity>0</DocSecurity>
  <Lines>16</Lines>
  <Paragraphs>4</Paragraphs>
  <ScaleCrop>false</ScaleCrop>
  <Company>中国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创新发展部1</dc:creator>
  <cp:lastModifiedBy>Hewlett-Packard Company</cp:lastModifiedBy>
  <cp:revision>3</cp:revision>
  <cp:lastPrinted>2018-10-15T03:13:00Z</cp:lastPrinted>
  <dcterms:created xsi:type="dcterms:W3CDTF">2018-10-18T08:15:00Z</dcterms:created>
  <dcterms:modified xsi:type="dcterms:W3CDTF">2018-10-26T02:35:00Z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