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Times New Roman" w:eastAsia="仿宋_GB2312"/>
          <w:sz w:val="32"/>
          <w:szCs w:val="32"/>
        </w:rPr>
      </w:pPr>
      <w:bookmarkStart w:id="1" w:name="_GoBack"/>
      <w:bookmarkEnd w:id="1"/>
      <w:r>
        <w:rPr>
          <w:rFonts w:hint="eastAsia" w:ascii="黑体" w:hAnsi="黑体" w:eastAsia="黑体" w:cs="黑体"/>
          <w:spacing w:val="-12"/>
          <w:sz w:val="32"/>
          <w:szCs w:val="32"/>
        </w:rPr>
        <w:t>附件</w:t>
      </w:r>
    </w:p>
    <w:p>
      <w:pPr>
        <w:spacing w:line="0" w:lineRule="atLeast"/>
        <w:rPr>
          <w:rFonts w:ascii="黑体" w:hAnsi="黑体" w:eastAsia="黑体" w:cs="仿宋"/>
          <w:sz w:val="32"/>
          <w:szCs w:val="32"/>
        </w:rPr>
      </w:pPr>
    </w:p>
    <w:p>
      <w:pPr>
        <w:spacing w:line="0" w:lineRule="atLeas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内蒙古自治区关于深化项目评审、</w:t>
      </w:r>
    </w:p>
    <w:p>
      <w:pPr>
        <w:spacing w:line="0" w:lineRule="atLeas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人才评价、机构评估改革的实施意见</w:t>
      </w:r>
    </w:p>
    <w:p>
      <w:pPr>
        <w:spacing w:line="660" w:lineRule="exact"/>
        <w:jc w:val="center"/>
        <w:rPr>
          <w:rFonts w:ascii="楷体_GB2312" w:hAnsi="仿宋" w:eastAsia="楷体_GB2312" w:cs="仿宋"/>
          <w:sz w:val="32"/>
          <w:szCs w:val="32"/>
        </w:rPr>
      </w:pPr>
      <w:r>
        <w:rPr>
          <w:rFonts w:hint="eastAsia" w:ascii="楷体_GB2312" w:hAnsi="仿宋" w:eastAsia="楷体_GB2312" w:cs="仿宋"/>
          <w:sz w:val="32"/>
          <w:szCs w:val="32"/>
        </w:rPr>
        <w:t>（征求意见稿）</w:t>
      </w:r>
    </w:p>
    <w:p>
      <w:pPr>
        <w:spacing w:line="660" w:lineRule="exact"/>
        <w:jc w:val="center"/>
        <w:rPr>
          <w:rFonts w:ascii="楷体_GB2312" w:hAnsi="仿宋" w:eastAsia="楷体_GB2312" w:cs="仿宋"/>
          <w:sz w:val="32"/>
          <w:szCs w:val="32"/>
        </w:rPr>
      </w:pPr>
    </w:p>
    <w:p>
      <w:pPr>
        <w:ind w:firstLine="640" w:firstLineChars="200"/>
        <w:rPr>
          <w:rFonts w:ascii="仿宋_GB2312" w:hAnsi="仿宋" w:eastAsia="仿宋_GB2312"/>
          <w:sz w:val="32"/>
          <w:szCs w:val="32"/>
        </w:rPr>
      </w:pPr>
      <w:r>
        <w:rPr>
          <w:rFonts w:hint="eastAsia" w:ascii="仿宋_GB2312" w:hAnsi="仿宋" w:eastAsia="仿宋_GB2312" w:cs="仿宋"/>
          <w:sz w:val="32"/>
          <w:szCs w:val="32"/>
        </w:rPr>
        <w:t>项目评审、人才评价、机构评估（</w:t>
      </w:r>
      <w:r>
        <w:rPr>
          <w:rFonts w:ascii="仿宋_GB2312" w:hAnsi="仿宋" w:eastAsia="仿宋_GB2312" w:cs="仿宋"/>
          <w:sz w:val="32"/>
          <w:szCs w:val="32"/>
        </w:rPr>
        <w:t>以下简称“三评”</w:t>
      </w:r>
      <w:r>
        <w:rPr>
          <w:rFonts w:hint="eastAsia" w:ascii="仿宋_GB2312" w:hAnsi="仿宋" w:eastAsia="仿宋_GB2312" w:cs="仿宋"/>
          <w:sz w:val="32"/>
          <w:szCs w:val="32"/>
        </w:rPr>
        <w:t>）改革是</w:t>
      </w:r>
      <w:r>
        <w:rPr>
          <w:rFonts w:ascii="仿宋_GB2312" w:hAnsi="仿宋" w:eastAsia="仿宋_GB2312" w:cs="仿宋"/>
          <w:sz w:val="32"/>
          <w:szCs w:val="32"/>
        </w:rPr>
        <w:t>科技体制改革的重要内容。</w:t>
      </w:r>
      <w:r>
        <w:rPr>
          <w:rFonts w:hint="eastAsia" w:ascii="仿宋_GB2312" w:hAnsi="仿宋" w:eastAsia="仿宋_GB2312" w:cs="仿宋"/>
          <w:sz w:val="32"/>
          <w:szCs w:val="32"/>
        </w:rPr>
        <w:t>为贯彻落实中共中央办公厅、国务院办公厅《关于深化项目评审、人才评价、机构评估改革的意见》（中办发〔2018〕37号）精神，</w:t>
      </w:r>
      <w:r>
        <w:rPr>
          <w:rFonts w:hint="eastAsia" w:ascii="仿宋_GB2312" w:hAnsi="仿宋" w:eastAsia="仿宋_GB2312"/>
          <w:sz w:val="32"/>
          <w:szCs w:val="32"/>
        </w:rPr>
        <w:t>进一步优化科研项目评审管理机制、改进科技人才评价方式、完善科研机构</w:t>
      </w:r>
      <w:r>
        <w:rPr>
          <w:rFonts w:ascii="仿宋_GB2312" w:hAnsi="仿宋" w:eastAsia="仿宋_GB2312"/>
          <w:sz w:val="32"/>
          <w:szCs w:val="32"/>
        </w:rPr>
        <w:t>评估</w:t>
      </w:r>
      <w:r>
        <w:rPr>
          <w:rFonts w:hint="eastAsia" w:ascii="仿宋_GB2312" w:hAnsi="仿宋" w:eastAsia="仿宋_GB2312"/>
          <w:sz w:val="32"/>
          <w:szCs w:val="32"/>
        </w:rPr>
        <w:t>制度,结合自治区实际</w:t>
      </w:r>
      <w:r>
        <w:rPr>
          <w:rFonts w:ascii="仿宋_GB2312" w:hAnsi="仿宋" w:eastAsia="仿宋_GB2312"/>
          <w:sz w:val="32"/>
          <w:szCs w:val="32"/>
        </w:rPr>
        <w:t>，</w:t>
      </w:r>
      <w:r>
        <w:rPr>
          <w:rFonts w:hint="eastAsia" w:ascii="仿宋_GB2312" w:hAnsi="仿宋" w:eastAsia="仿宋_GB2312"/>
          <w:sz w:val="32"/>
          <w:szCs w:val="32"/>
        </w:rPr>
        <w:t>制定如下实施意见。</w:t>
      </w:r>
    </w:p>
    <w:p>
      <w:pPr>
        <w:pStyle w:val="20"/>
        <w:numPr>
          <w:ilvl w:val="0"/>
          <w:numId w:val="1"/>
        </w:numPr>
        <w:ind w:firstLineChars="0"/>
        <w:rPr>
          <w:rFonts w:ascii="黑体" w:hAnsi="黑体" w:eastAsia="黑体" w:cs="宋体"/>
          <w:bCs/>
          <w:kern w:val="0"/>
          <w:sz w:val="32"/>
          <w:szCs w:val="32"/>
        </w:rPr>
      </w:pPr>
      <w:r>
        <w:rPr>
          <w:rFonts w:hint="eastAsia" w:ascii="黑体" w:hAnsi="黑体" w:eastAsia="黑体" w:cs="宋体"/>
          <w:bCs/>
          <w:kern w:val="0"/>
          <w:sz w:val="32"/>
          <w:szCs w:val="32"/>
        </w:rPr>
        <w:t>总体要求</w:t>
      </w:r>
    </w:p>
    <w:p>
      <w:pPr>
        <w:pStyle w:val="20"/>
        <w:numPr>
          <w:ilvl w:val="0"/>
          <w:numId w:val="2"/>
        </w:numPr>
        <w:ind w:firstLineChars="0"/>
        <w:rPr>
          <w:rFonts w:ascii="仿宋_GB2312" w:hAnsi="仿宋" w:eastAsia="仿宋_GB2312"/>
          <w:sz w:val="32"/>
          <w:szCs w:val="32"/>
        </w:rPr>
      </w:pPr>
      <w:r>
        <w:rPr>
          <w:rFonts w:hint="eastAsia" w:ascii="楷体_GB2312" w:hAnsi="仿宋" w:eastAsia="楷体_GB2312" w:cs="宋体"/>
          <w:kern w:val="0"/>
          <w:sz w:val="32"/>
          <w:szCs w:val="32"/>
        </w:rPr>
        <w:t>指导思想。</w:t>
      </w:r>
      <w:r>
        <w:rPr>
          <w:rFonts w:hint="eastAsia" w:ascii="仿宋_GB2312" w:hAnsi="仿宋" w:eastAsia="仿宋_GB2312" w:cs="宋体"/>
          <w:kern w:val="0"/>
          <w:sz w:val="32"/>
          <w:szCs w:val="32"/>
        </w:rPr>
        <w:t>全面贯彻落实党的十九大精神，</w:t>
      </w:r>
      <w:r>
        <w:rPr>
          <w:rFonts w:ascii="仿宋_GB2312" w:hAnsi="仿宋" w:eastAsia="仿宋_GB2312" w:cs="宋体"/>
          <w:kern w:val="0"/>
          <w:sz w:val="32"/>
          <w:szCs w:val="32"/>
        </w:rPr>
        <w:t>以</w:t>
      </w:r>
      <w:r>
        <w:rPr>
          <w:rFonts w:hint="eastAsia" w:ascii="仿宋_GB2312" w:hAnsi="仿宋" w:eastAsia="仿宋_GB2312" w:cs="宋体"/>
          <w:kern w:val="0"/>
          <w:sz w:val="32"/>
          <w:szCs w:val="32"/>
        </w:rPr>
        <w:t>习近平新时代中国特色社会主义思想为指导，</w:t>
      </w:r>
      <w:r>
        <w:rPr>
          <w:rFonts w:hint="eastAsia" w:ascii="仿宋_GB2312" w:hAnsi="仿宋" w:eastAsia="仿宋_GB2312"/>
          <w:sz w:val="32"/>
          <w:szCs w:val="32"/>
        </w:rPr>
        <w:t>按照自治区</w:t>
      </w:r>
      <w:r>
        <w:rPr>
          <w:rFonts w:ascii="仿宋_GB2312" w:hAnsi="仿宋" w:eastAsia="仿宋_GB2312"/>
          <w:sz w:val="32"/>
          <w:szCs w:val="32"/>
        </w:rPr>
        <w:t>党委、政府</w:t>
      </w:r>
      <w:r>
        <w:rPr>
          <w:rFonts w:hint="eastAsia" w:ascii="仿宋_GB2312" w:hAnsi="仿宋" w:eastAsia="仿宋_GB2312"/>
          <w:sz w:val="32"/>
          <w:szCs w:val="32"/>
        </w:rPr>
        <w:t>决策部署，深入</w:t>
      </w:r>
      <w:r>
        <w:rPr>
          <w:rFonts w:hint="eastAsia" w:ascii="仿宋_GB2312" w:hAnsi="仿宋" w:eastAsia="仿宋_GB2312" w:cs="宋体"/>
          <w:kern w:val="0"/>
          <w:sz w:val="32"/>
          <w:szCs w:val="32"/>
        </w:rPr>
        <w:t>实施创新驱动发展战略，不断</w:t>
      </w:r>
      <w:r>
        <w:rPr>
          <w:rFonts w:ascii="仿宋_GB2312" w:hAnsi="仿宋" w:eastAsia="仿宋_GB2312" w:cs="宋体"/>
          <w:kern w:val="0"/>
          <w:sz w:val="32"/>
          <w:szCs w:val="32"/>
        </w:rPr>
        <w:t>深化科技体制改革，以构建科学、规范、</w:t>
      </w:r>
      <w:r>
        <w:rPr>
          <w:rFonts w:hint="eastAsia" w:ascii="仿宋_GB2312" w:hAnsi="仿宋" w:eastAsia="仿宋_GB2312" w:cs="宋体"/>
          <w:kern w:val="0"/>
          <w:sz w:val="32"/>
          <w:szCs w:val="32"/>
        </w:rPr>
        <w:t>高效</w:t>
      </w:r>
      <w:r>
        <w:rPr>
          <w:rFonts w:ascii="仿宋_GB2312" w:hAnsi="仿宋" w:eastAsia="仿宋_GB2312" w:cs="宋体"/>
          <w:kern w:val="0"/>
          <w:sz w:val="32"/>
          <w:szCs w:val="32"/>
        </w:rPr>
        <w:t>、</w:t>
      </w:r>
      <w:r>
        <w:rPr>
          <w:rFonts w:hint="eastAsia" w:ascii="仿宋_GB2312" w:hAnsi="仿宋" w:eastAsia="仿宋_GB2312" w:cs="宋体"/>
          <w:kern w:val="0"/>
          <w:sz w:val="32"/>
          <w:szCs w:val="32"/>
        </w:rPr>
        <w:t>诚信</w:t>
      </w:r>
      <w:r>
        <w:rPr>
          <w:rFonts w:ascii="仿宋_GB2312" w:hAnsi="仿宋" w:eastAsia="仿宋_GB2312" w:cs="宋体"/>
          <w:kern w:val="0"/>
          <w:sz w:val="32"/>
          <w:szCs w:val="32"/>
        </w:rPr>
        <w:t>的科技评价</w:t>
      </w:r>
      <w:r>
        <w:rPr>
          <w:rFonts w:hint="eastAsia" w:ascii="仿宋_GB2312" w:hAnsi="仿宋" w:eastAsia="仿宋_GB2312" w:cs="宋体"/>
          <w:kern w:val="0"/>
          <w:sz w:val="32"/>
          <w:szCs w:val="32"/>
        </w:rPr>
        <w:t>体系</w:t>
      </w:r>
      <w:r>
        <w:rPr>
          <w:rFonts w:ascii="仿宋_GB2312" w:hAnsi="仿宋" w:eastAsia="仿宋_GB2312" w:cs="宋体"/>
          <w:kern w:val="0"/>
          <w:sz w:val="32"/>
          <w:szCs w:val="32"/>
        </w:rPr>
        <w:t>为目标</w:t>
      </w:r>
      <w:r>
        <w:rPr>
          <w:rFonts w:hint="eastAsia" w:ascii="仿宋_GB2312" w:hAnsi="仿宋" w:eastAsia="仿宋_GB2312" w:cs="宋体"/>
          <w:kern w:val="0"/>
          <w:sz w:val="32"/>
          <w:szCs w:val="32"/>
        </w:rPr>
        <w:t>，坚持</w:t>
      </w:r>
      <w:r>
        <w:rPr>
          <w:rFonts w:ascii="仿宋_GB2312" w:hAnsi="仿宋" w:eastAsia="仿宋_GB2312" w:cs="宋体"/>
          <w:kern w:val="0"/>
          <w:sz w:val="32"/>
          <w:szCs w:val="32"/>
        </w:rPr>
        <w:t>问题导向、尊重规律、分类评价、客观公正</w:t>
      </w:r>
      <w:r>
        <w:rPr>
          <w:rFonts w:hint="eastAsia" w:ascii="仿宋_GB2312" w:hAnsi="仿宋" w:eastAsia="仿宋_GB2312" w:cs="宋体"/>
          <w:kern w:val="0"/>
          <w:sz w:val="32"/>
          <w:szCs w:val="32"/>
        </w:rPr>
        <w:t>，</w:t>
      </w:r>
      <w:r>
        <w:rPr>
          <w:rFonts w:ascii="仿宋_GB2312" w:hAnsi="仿宋" w:eastAsia="仿宋_GB2312" w:cs="宋体"/>
          <w:kern w:val="0"/>
          <w:sz w:val="32"/>
          <w:szCs w:val="32"/>
        </w:rPr>
        <w:t>推进“三评”改革和评价制度建设，</w:t>
      </w:r>
      <w:r>
        <w:rPr>
          <w:rFonts w:hint="eastAsia" w:ascii="仿宋_GB2312" w:hAnsi="仿宋" w:eastAsia="仿宋_GB2312" w:cs="宋体"/>
          <w:kern w:val="0"/>
          <w:sz w:val="32"/>
          <w:szCs w:val="32"/>
        </w:rPr>
        <w:t>进一步</w:t>
      </w:r>
      <w:r>
        <w:rPr>
          <w:rFonts w:ascii="仿宋_GB2312" w:hAnsi="仿宋" w:eastAsia="仿宋_GB2312" w:cs="宋体"/>
          <w:kern w:val="0"/>
          <w:sz w:val="32"/>
          <w:szCs w:val="32"/>
        </w:rPr>
        <w:t>营造风清气正的科研环境，</w:t>
      </w:r>
      <w:r>
        <w:rPr>
          <w:rFonts w:hint="eastAsia" w:ascii="仿宋_GB2312" w:hAnsi="仿宋" w:eastAsia="仿宋_GB2312" w:cs="宋体"/>
          <w:kern w:val="0"/>
          <w:sz w:val="32"/>
          <w:szCs w:val="32"/>
        </w:rPr>
        <w:t>激发科研人员的积极性创造性，</w:t>
      </w:r>
      <w:r>
        <w:rPr>
          <w:rFonts w:hint="eastAsia" w:ascii="仿宋_GB2312" w:hAnsi="仿宋" w:eastAsia="仿宋_GB2312"/>
          <w:sz w:val="32"/>
          <w:szCs w:val="32"/>
        </w:rPr>
        <w:t>全面提升我区科技创新实力和成果转化能力，推动自治区</w:t>
      </w:r>
      <w:r>
        <w:rPr>
          <w:rFonts w:ascii="仿宋_GB2312" w:hAnsi="仿宋" w:eastAsia="仿宋_GB2312"/>
          <w:sz w:val="32"/>
          <w:szCs w:val="32"/>
        </w:rPr>
        <w:t>经济高质量</w:t>
      </w:r>
      <w:r>
        <w:rPr>
          <w:rFonts w:hint="eastAsia" w:ascii="仿宋_GB2312" w:hAnsi="仿宋" w:eastAsia="仿宋_GB2312"/>
          <w:sz w:val="32"/>
          <w:szCs w:val="32"/>
        </w:rPr>
        <w:t>发展。</w:t>
      </w:r>
    </w:p>
    <w:p>
      <w:pPr>
        <w:pStyle w:val="20"/>
        <w:numPr>
          <w:ilvl w:val="0"/>
          <w:numId w:val="2"/>
        </w:numPr>
        <w:ind w:firstLineChars="0"/>
        <w:rPr>
          <w:rFonts w:ascii="仿宋_GB2312" w:hAnsi="仿宋" w:eastAsia="仿宋_GB2312"/>
          <w:sz w:val="32"/>
          <w:szCs w:val="32"/>
        </w:rPr>
      </w:pPr>
      <w:r>
        <w:rPr>
          <w:rFonts w:hint="eastAsia" w:ascii="楷体_GB2312" w:hAnsi="仿宋" w:eastAsia="楷体_GB2312" w:cs="宋体"/>
          <w:kern w:val="0"/>
          <w:sz w:val="32"/>
          <w:szCs w:val="32"/>
        </w:rPr>
        <w:t>主要目标。</w:t>
      </w:r>
      <w:r>
        <w:rPr>
          <w:rFonts w:hint="eastAsia" w:ascii="仿宋_GB2312" w:hAnsi="仿宋" w:eastAsia="仿宋_GB2312" w:cs="宋体"/>
          <w:kern w:val="0"/>
          <w:sz w:val="32"/>
          <w:szCs w:val="32"/>
        </w:rPr>
        <w:t>到</w:t>
      </w:r>
      <w:r>
        <w:rPr>
          <w:rFonts w:hint="eastAsia" w:ascii="仿宋_GB2312" w:hAnsi="Times New Roman" w:eastAsia="仿宋_GB2312"/>
          <w:sz w:val="32"/>
          <w:szCs w:val="32"/>
        </w:rPr>
        <w:t>2020</w:t>
      </w:r>
      <w:r>
        <w:rPr>
          <w:rFonts w:hint="eastAsia" w:ascii="仿宋_GB2312" w:hAnsi="仿宋" w:eastAsia="仿宋_GB2312" w:cs="宋体"/>
          <w:kern w:val="0"/>
          <w:sz w:val="32"/>
          <w:szCs w:val="32"/>
        </w:rPr>
        <w:t>年，</w:t>
      </w:r>
      <w:r>
        <w:rPr>
          <w:rFonts w:ascii="仿宋_GB2312" w:hAnsi="仿宋" w:eastAsia="仿宋_GB2312" w:cs="宋体"/>
          <w:kern w:val="0"/>
          <w:sz w:val="32"/>
          <w:szCs w:val="32"/>
        </w:rPr>
        <w:t>科学、规范、高效、诚信的科技评价体系基本建立</w:t>
      </w:r>
      <w:r>
        <w:rPr>
          <w:rFonts w:hint="eastAsia" w:ascii="仿宋_GB2312" w:hAnsi="仿宋" w:eastAsia="仿宋_GB2312" w:cs="宋体"/>
          <w:kern w:val="0"/>
          <w:sz w:val="32"/>
          <w:szCs w:val="32"/>
        </w:rPr>
        <w:t>，</w:t>
      </w:r>
      <w:r>
        <w:rPr>
          <w:rFonts w:ascii="仿宋_GB2312" w:hAnsi="仿宋" w:eastAsia="仿宋_GB2312" w:cs="宋体"/>
          <w:kern w:val="0"/>
          <w:sz w:val="32"/>
          <w:szCs w:val="32"/>
        </w:rPr>
        <w:t>“三评”工作布局进一步优化，评价机制进一步改进，评价质量效益进一步提高，</w:t>
      </w:r>
      <w:r>
        <w:rPr>
          <w:rFonts w:hint="eastAsia" w:ascii="仿宋_GB2312" w:hAnsi="仿宋" w:eastAsia="仿宋_GB2312" w:cs="宋体"/>
          <w:kern w:val="0"/>
          <w:sz w:val="32"/>
          <w:szCs w:val="32"/>
        </w:rPr>
        <w:t>科技资源配置更加高效，科研</w:t>
      </w:r>
      <w:r>
        <w:rPr>
          <w:rFonts w:ascii="仿宋_GB2312" w:hAnsi="仿宋" w:eastAsia="仿宋_GB2312" w:cs="宋体"/>
          <w:kern w:val="0"/>
          <w:sz w:val="32"/>
          <w:szCs w:val="32"/>
        </w:rPr>
        <w:t>机构和</w:t>
      </w:r>
      <w:r>
        <w:rPr>
          <w:rFonts w:hint="eastAsia" w:ascii="仿宋_GB2312" w:hAnsi="仿宋" w:eastAsia="仿宋_GB2312" w:cs="宋体"/>
          <w:kern w:val="0"/>
          <w:sz w:val="32"/>
          <w:szCs w:val="32"/>
        </w:rPr>
        <w:t>科研人员创新创业潜能活力竞相迸发，科技创新和供给能力显著提升。</w:t>
      </w:r>
    </w:p>
    <w:p>
      <w:pPr>
        <w:pStyle w:val="20"/>
        <w:numPr>
          <w:ilvl w:val="0"/>
          <w:numId w:val="1"/>
        </w:numPr>
        <w:ind w:firstLineChars="0"/>
        <w:rPr>
          <w:rFonts w:ascii="黑体" w:hAnsi="黑体" w:eastAsia="黑体" w:cs="宋体"/>
          <w:bCs/>
          <w:kern w:val="0"/>
          <w:sz w:val="32"/>
          <w:szCs w:val="32"/>
        </w:rPr>
      </w:pPr>
      <w:r>
        <w:rPr>
          <w:rFonts w:hint="eastAsia" w:ascii="黑体" w:hAnsi="黑体" w:eastAsia="黑体" w:cs="宋体"/>
          <w:bCs/>
          <w:kern w:val="0"/>
          <w:sz w:val="32"/>
          <w:szCs w:val="32"/>
        </w:rPr>
        <w:t>优化科研项目评审管理</w:t>
      </w:r>
    </w:p>
    <w:p>
      <w:pPr>
        <w:pStyle w:val="20"/>
        <w:widowControl/>
        <w:numPr>
          <w:ilvl w:val="0"/>
          <w:numId w:val="3"/>
        </w:numPr>
        <w:spacing w:line="360" w:lineRule="auto"/>
        <w:ind w:firstLine="640"/>
        <w:rPr>
          <w:rFonts w:ascii="仿宋_GB2312" w:eastAsia="仿宋_GB2312"/>
          <w:sz w:val="32"/>
          <w:szCs w:val="32"/>
        </w:rPr>
      </w:pPr>
      <w:r>
        <w:rPr>
          <w:rFonts w:hint="eastAsia" w:ascii="楷体_GB2312" w:eastAsia="楷体_GB2312"/>
          <w:sz w:val="32"/>
          <w:szCs w:val="32"/>
        </w:rPr>
        <w:t>进一步推进财政科技计划项目管理改革。</w:t>
      </w:r>
      <w:r>
        <w:rPr>
          <w:rFonts w:ascii="仿宋_GB2312" w:eastAsia="仿宋_GB2312"/>
          <w:sz w:val="32"/>
          <w:szCs w:val="32"/>
        </w:rPr>
        <w:t>聚焦</w:t>
      </w:r>
      <w:r>
        <w:rPr>
          <w:rFonts w:hint="eastAsia" w:ascii="仿宋_GB2312" w:eastAsia="仿宋_GB2312"/>
          <w:sz w:val="32"/>
          <w:szCs w:val="32"/>
        </w:rPr>
        <w:t>自治区</w:t>
      </w:r>
      <w:r>
        <w:rPr>
          <w:rFonts w:ascii="仿宋_GB2312" w:eastAsia="仿宋_GB2312"/>
          <w:sz w:val="32"/>
          <w:szCs w:val="32"/>
        </w:rPr>
        <w:t>经济</w:t>
      </w:r>
      <w:r>
        <w:rPr>
          <w:rFonts w:hint="eastAsia" w:ascii="仿宋_GB2312" w:eastAsia="仿宋_GB2312"/>
          <w:sz w:val="32"/>
          <w:szCs w:val="32"/>
        </w:rPr>
        <w:t>社会</w:t>
      </w:r>
      <w:r>
        <w:rPr>
          <w:rFonts w:ascii="仿宋_GB2312" w:eastAsia="仿宋_GB2312"/>
          <w:sz w:val="32"/>
          <w:szCs w:val="32"/>
        </w:rPr>
        <w:t>发展重大需求，聚焦</w:t>
      </w:r>
      <w:r>
        <w:rPr>
          <w:rFonts w:hint="eastAsia" w:ascii="仿宋_GB2312" w:eastAsia="仿宋_GB2312"/>
          <w:sz w:val="32"/>
          <w:szCs w:val="32"/>
        </w:rPr>
        <w:t>重点</w:t>
      </w:r>
      <w:r>
        <w:rPr>
          <w:rFonts w:ascii="仿宋_GB2312" w:eastAsia="仿宋_GB2312"/>
          <w:sz w:val="32"/>
          <w:szCs w:val="32"/>
        </w:rPr>
        <w:t>产业培育壮大，聚焦提高自主创新能力，改革科技计划项目管理体制机制，优化整合原有科技计划</w:t>
      </w:r>
      <w:r>
        <w:rPr>
          <w:rFonts w:hint="eastAsia" w:ascii="仿宋_GB2312" w:eastAsia="仿宋_GB2312"/>
          <w:sz w:val="32"/>
          <w:szCs w:val="32"/>
        </w:rPr>
        <w:t>。按照管理、实施、监督</w:t>
      </w:r>
      <w:r>
        <w:rPr>
          <w:rFonts w:ascii="仿宋_GB2312" w:eastAsia="仿宋_GB2312"/>
          <w:sz w:val="32"/>
          <w:szCs w:val="32"/>
        </w:rPr>
        <w:t>相</w:t>
      </w:r>
      <w:r>
        <w:rPr>
          <w:rFonts w:hint="eastAsia" w:ascii="仿宋_GB2312" w:eastAsia="仿宋_GB2312"/>
          <w:sz w:val="32"/>
          <w:szCs w:val="32"/>
        </w:rPr>
        <w:t>分离</w:t>
      </w:r>
      <w:r>
        <w:rPr>
          <w:rFonts w:ascii="仿宋_GB2312" w:eastAsia="仿宋_GB2312"/>
          <w:sz w:val="32"/>
          <w:szCs w:val="32"/>
        </w:rPr>
        <w:t>的原则，实现</w:t>
      </w:r>
      <w:r>
        <w:rPr>
          <w:rFonts w:hint="eastAsia" w:ascii="仿宋_GB2312" w:eastAsia="仿宋_GB2312"/>
          <w:sz w:val="32"/>
          <w:szCs w:val="32"/>
        </w:rPr>
        <w:t>资源</w:t>
      </w:r>
      <w:r>
        <w:rPr>
          <w:rFonts w:ascii="仿宋_GB2312" w:eastAsia="仿宋_GB2312"/>
          <w:sz w:val="32"/>
          <w:szCs w:val="32"/>
        </w:rPr>
        <w:t>总体分配、计划统筹协调、组织实施管理、绩效评价验收、监督审计</w:t>
      </w:r>
      <w:r>
        <w:rPr>
          <w:rFonts w:hint="eastAsia" w:ascii="仿宋_GB2312" w:eastAsia="仿宋_GB2312"/>
          <w:sz w:val="32"/>
          <w:szCs w:val="32"/>
        </w:rPr>
        <w:t>分阶段规范</w:t>
      </w:r>
      <w:r>
        <w:rPr>
          <w:rFonts w:ascii="仿宋_GB2312" w:eastAsia="仿宋_GB2312"/>
          <w:sz w:val="32"/>
          <w:szCs w:val="32"/>
        </w:rPr>
        <w:t>运行。</w:t>
      </w:r>
      <w:r>
        <w:rPr>
          <w:rFonts w:hint="eastAsia" w:ascii="楷体_GB2312" w:eastAsia="楷体_GB2312"/>
          <w:sz w:val="32"/>
          <w:szCs w:val="32"/>
        </w:rPr>
        <w:t>(责任单位：自治区科技厅、财政厅、审计厅）</w:t>
      </w:r>
    </w:p>
    <w:p>
      <w:pPr>
        <w:pStyle w:val="20"/>
        <w:widowControl/>
        <w:numPr>
          <w:ilvl w:val="0"/>
          <w:numId w:val="3"/>
        </w:numPr>
        <w:spacing w:line="360" w:lineRule="auto"/>
        <w:ind w:firstLine="640"/>
        <w:rPr>
          <w:rFonts w:ascii="仿宋_GB2312" w:eastAsia="仿宋_GB2312"/>
          <w:sz w:val="32"/>
          <w:szCs w:val="32"/>
        </w:rPr>
      </w:pPr>
      <w:r>
        <w:rPr>
          <w:rFonts w:hint="eastAsia" w:ascii="楷体_GB2312" w:eastAsia="楷体_GB2312"/>
          <w:sz w:val="32"/>
          <w:szCs w:val="32"/>
        </w:rPr>
        <w:t>完善项目指南编制和发布机制。</w:t>
      </w:r>
      <w:r>
        <w:rPr>
          <w:rFonts w:hint="eastAsia" w:ascii="仿宋_GB2312" w:eastAsia="仿宋_GB2312"/>
          <w:sz w:val="32"/>
          <w:szCs w:val="32"/>
        </w:rPr>
        <w:t>完善自治区科技项目储备库制度，扩大项目征集范围，科学分类，系统凝练，提高入库项目质量。建立重大项目预研制度。支持高端智库对事关自治区高质量发展的重大创新项目、创新工程开展战略性研究。自治区科技</w:t>
      </w:r>
      <w:r>
        <w:rPr>
          <w:rFonts w:ascii="仿宋_GB2312" w:eastAsia="仿宋_GB2312"/>
          <w:sz w:val="32"/>
          <w:szCs w:val="32"/>
        </w:rPr>
        <w:t>计划项目指南编制应</w:t>
      </w:r>
      <w:r>
        <w:rPr>
          <w:rFonts w:hint="eastAsia" w:ascii="仿宋_GB2312" w:eastAsia="仿宋_GB2312"/>
          <w:sz w:val="32"/>
          <w:szCs w:val="32"/>
        </w:rPr>
        <w:t>结合储备</w:t>
      </w:r>
      <w:r>
        <w:rPr>
          <w:rFonts w:ascii="仿宋_GB2312" w:eastAsia="仿宋_GB2312"/>
          <w:sz w:val="32"/>
          <w:szCs w:val="32"/>
        </w:rPr>
        <w:t>项目</w:t>
      </w:r>
      <w:r>
        <w:rPr>
          <w:rFonts w:hint="eastAsia" w:ascii="仿宋_GB2312" w:eastAsia="仿宋_GB2312"/>
          <w:sz w:val="32"/>
          <w:szCs w:val="32"/>
        </w:rPr>
        <w:t>、</w:t>
      </w:r>
      <w:r>
        <w:rPr>
          <w:rFonts w:ascii="仿宋_GB2312" w:eastAsia="仿宋_GB2312"/>
          <w:sz w:val="32"/>
          <w:szCs w:val="32"/>
        </w:rPr>
        <w:t>自治区经济社会重大决策</w:t>
      </w:r>
      <w:r>
        <w:rPr>
          <w:rFonts w:hint="eastAsia" w:ascii="仿宋_GB2312" w:eastAsia="仿宋_GB2312"/>
          <w:sz w:val="32"/>
          <w:szCs w:val="32"/>
        </w:rPr>
        <w:t>、</w:t>
      </w:r>
      <w:r>
        <w:rPr>
          <w:rFonts w:ascii="仿宋_GB2312" w:eastAsia="仿宋_GB2312"/>
          <w:sz w:val="32"/>
          <w:szCs w:val="32"/>
        </w:rPr>
        <w:t>战略部署</w:t>
      </w:r>
      <w:r>
        <w:rPr>
          <w:rFonts w:hint="eastAsia" w:ascii="仿宋_GB2312" w:eastAsia="仿宋_GB2312"/>
          <w:sz w:val="32"/>
          <w:szCs w:val="32"/>
        </w:rPr>
        <w:t>和</w:t>
      </w:r>
      <w:r>
        <w:rPr>
          <w:rFonts w:ascii="仿宋_GB2312" w:eastAsia="仿宋_GB2312"/>
          <w:sz w:val="32"/>
          <w:szCs w:val="32"/>
        </w:rPr>
        <w:t>相关规划要求</w:t>
      </w:r>
      <w:r>
        <w:rPr>
          <w:rFonts w:hint="eastAsia" w:ascii="仿宋_GB2312" w:eastAsia="仿宋_GB2312"/>
          <w:sz w:val="32"/>
          <w:szCs w:val="32"/>
        </w:rPr>
        <w:t>，</w:t>
      </w:r>
      <w:r>
        <w:rPr>
          <w:rFonts w:ascii="仿宋_GB2312" w:eastAsia="仿宋_GB2312"/>
          <w:sz w:val="32"/>
          <w:szCs w:val="32"/>
        </w:rPr>
        <w:t>合理确定不同类型项目的指向程度，并广泛听取和吸收</w:t>
      </w:r>
      <w:r>
        <w:rPr>
          <w:rFonts w:hint="eastAsia" w:ascii="仿宋_GB2312" w:eastAsia="仿宋_GB2312"/>
          <w:sz w:val="32"/>
          <w:szCs w:val="32"/>
        </w:rPr>
        <w:t>相关部门</w:t>
      </w:r>
      <w:r>
        <w:rPr>
          <w:rFonts w:ascii="仿宋_GB2312" w:eastAsia="仿宋_GB2312"/>
          <w:sz w:val="32"/>
          <w:szCs w:val="32"/>
        </w:rPr>
        <w:t>、行业、地方以及产业界、科技社团、社会公众等各方面意见，反映各方面需求。</w:t>
      </w:r>
      <w:r>
        <w:rPr>
          <w:rFonts w:hint="eastAsia" w:ascii="仿宋_GB2312" w:eastAsia="仿宋_GB2312"/>
          <w:sz w:val="32"/>
          <w:szCs w:val="32"/>
        </w:rPr>
        <w:t>设立自治区</w:t>
      </w:r>
      <w:r>
        <w:rPr>
          <w:rFonts w:ascii="仿宋_GB2312" w:eastAsia="仿宋_GB2312"/>
          <w:sz w:val="32"/>
          <w:szCs w:val="32"/>
        </w:rPr>
        <w:t>科技战略咨询委员会，对</w:t>
      </w:r>
      <w:r>
        <w:rPr>
          <w:rFonts w:hint="eastAsia" w:ascii="仿宋_GB2312" w:eastAsia="仿宋_GB2312"/>
          <w:sz w:val="32"/>
          <w:szCs w:val="32"/>
        </w:rPr>
        <w:t>重点</w:t>
      </w:r>
      <w:r>
        <w:rPr>
          <w:rFonts w:ascii="仿宋_GB2312" w:eastAsia="仿宋_GB2312"/>
          <w:sz w:val="32"/>
          <w:szCs w:val="32"/>
        </w:rPr>
        <w:t>领域方向计划指南的编制与实施提出决策建议。</w:t>
      </w:r>
      <w:r>
        <w:rPr>
          <w:rFonts w:hint="eastAsia" w:ascii="仿宋_GB2312" w:eastAsia="仿宋_GB2312"/>
          <w:sz w:val="32"/>
          <w:szCs w:val="32"/>
        </w:rPr>
        <w:t>每年定期发布下一年度科技计划项目申报指南，明确项目申报条件、程序、时限、经费、</w:t>
      </w:r>
      <w:r>
        <w:rPr>
          <w:rFonts w:ascii="仿宋_GB2312" w:eastAsia="仿宋_GB2312"/>
          <w:sz w:val="32"/>
          <w:szCs w:val="32"/>
        </w:rPr>
        <w:t>课题</w:t>
      </w:r>
      <w:r>
        <w:rPr>
          <w:rFonts w:hint="eastAsia" w:ascii="仿宋_GB2312" w:eastAsia="仿宋_GB2312"/>
          <w:sz w:val="32"/>
          <w:szCs w:val="32"/>
        </w:rPr>
        <w:t>安排等内容。从项目指南发布到项目申报截止原则上不少于50天。自然</w:t>
      </w:r>
      <w:r>
        <w:rPr>
          <w:rFonts w:ascii="仿宋_GB2312" w:eastAsia="仿宋_GB2312"/>
          <w:sz w:val="32"/>
          <w:szCs w:val="32"/>
        </w:rPr>
        <w:t>科学类项目</w:t>
      </w:r>
      <w:r>
        <w:rPr>
          <w:rFonts w:hint="eastAsia" w:ascii="仿宋_GB2312" w:eastAsia="仿宋_GB2312"/>
          <w:sz w:val="32"/>
          <w:szCs w:val="32"/>
        </w:rPr>
        <w:t>应关注增强自主</w:t>
      </w:r>
      <w:r>
        <w:rPr>
          <w:rFonts w:ascii="仿宋_GB2312" w:eastAsia="仿宋_GB2312"/>
          <w:sz w:val="32"/>
          <w:szCs w:val="32"/>
        </w:rPr>
        <w:t>创新能力，</w:t>
      </w:r>
      <w:r>
        <w:rPr>
          <w:rFonts w:hint="eastAsia" w:ascii="仿宋_GB2312" w:eastAsia="仿宋_GB2312"/>
          <w:sz w:val="32"/>
          <w:szCs w:val="32"/>
        </w:rPr>
        <w:t>鼓励</w:t>
      </w:r>
      <w:r>
        <w:rPr>
          <w:rFonts w:ascii="仿宋_GB2312" w:eastAsia="仿宋_GB2312"/>
          <w:sz w:val="32"/>
          <w:szCs w:val="32"/>
        </w:rPr>
        <w:t>自由探索，立足</w:t>
      </w:r>
      <w:r>
        <w:rPr>
          <w:rFonts w:hint="eastAsia" w:ascii="仿宋_GB2312" w:eastAsia="仿宋_GB2312"/>
          <w:sz w:val="32"/>
          <w:szCs w:val="32"/>
        </w:rPr>
        <w:t>自治区经济</w:t>
      </w:r>
      <w:r>
        <w:rPr>
          <w:rFonts w:ascii="仿宋_GB2312" w:eastAsia="仿宋_GB2312"/>
          <w:sz w:val="32"/>
          <w:szCs w:val="32"/>
        </w:rPr>
        <w:t>社会发展的科技需求，</w:t>
      </w:r>
      <w:r>
        <w:rPr>
          <w:rFonts w:hint="eastAsia" w:ascii="仿宋_GB2312" w:eastAsia="仿宋_GB2312"/>
          <w:sz w:val="32"/>
          <w:szCs w:val="32"/>
        </w:rPr>
        <w:t>为</w:t>
      </w:r>
      <w:r>
        <w:rPr>
          <w:rFonts w:ascii="仿宋_GB2312" w:eastAsia="仿宋_GB2312"/>
          <w:sz w:val="32"/>
          <w:szCs w:val="32"/>
        </w:rPr>
        <w:t>经济高质量发展提供科技支撑。</w:t>
      </w:r>
      <w:r>
        <w:rPr>
          <w:rFonts w:hint="eastAsia" w:ascii="仿宋_GB2312" w:eastAsia="仿宋_GB2312"/>
          <w:sz w:val="32"/>
          <w:szCs w:val="32"/>
        </w:rPr>
        <w:t>哲学社会科学类项目指南应注重研究的政治方向、学术创新、社会效益、实践价值等。</w:t>
      </w:r>
      <w:r>
        <w:rPr>
          <w:rFonts w:hint="eastAsia" w:ascii="楷体_GB2312" w:eastAsia="楷体_GB2312"/>
          <w:sz w:val="32"/>
          <w:szCs w:val="32"/>
        </w:rPr>
        <w:t>(责任单位：自治区科技厅、财政厅、党委宣传部</w:t>
      </w:r>
      <w:r>
        <w:rPr>
          <w:rFonts w:ascii="楷体_GB2312" w:eastAsia="楷体_GB2312"/>
          <w:sz w:val="32"/>
          <w:szCs w:val="32"/>
        </w:rPr>
        <w:t>、教育厅、社科联</w:t>
      </w:r>
      <w:r>
        <w:rPr>
          <w:rFonts w:hint="eastAsia" w:ascii="楷体_GB2312" w:eastAsia="楷体_GB2312"/>
          <w:sz w:val="32"/>
          <w:szCs w:val="32"/>
        </w:rPr>
        <w:t>）</w:t>
      </w:r>
    </w:p>
    <w:p>
      <w:pPr>
        <w:pStyle w:val="20"/>
        <w:widowControl/>
        <w:numPr>
          <w:ilvl w:val="0"/>
          <w:numId w:val="3"/>
        </w:numPr>
        <w:spacing w:line="360" w:lineRule="auto"/>
        <w:ind w:firstLine="640"/>
        <w:rPr>
          <w:rFonts w:ascii="仿宋_GB2312" w:eastAsia="仿宋_GB2312"/>
          <w:sz w:val="32"/>
          <w:szCs w:val="32"/>
        </w:rPr>
      </w:pPr>
      <w:r>
        <w:rPr>
          <w:rFonts w:hint="eastAsia" w:ascii="楷体_GB2312" w:eastAsia="楷体_GB2312"/>
          <w:sz w:val="32"/>
          <w:szCs w:val="32"/>
        </w:rPr>
        <w:t>简化项目申报程序。</w:t>
      </w:r>
      <w:r>
        <w:rPr>
          <w:rFonts w:hint="eastAsia" w:ascii="仿宋_GB2312" w:eastAsia="仿宋_GB2312"/>
          <w:sz w:val="32"/>
          <w:szCs w:val="32"/>
        </w:rPr>
        <w:t>制定公开清晰</w:t>
      </w:r>
      <w:r>
        <w:rPr>
          <w:rFonts w:ascii="仿宋_GB2312" w:eastAsia="仿宋_GB2312"/>
          <w:sz w:val="32"/>
          <w:szCs w:val="32"/>
        </w:rPr>
        <w:t>的项目管理流程图</w:t>
      </w:r>
      <w:r>
        <w:rPr>
          <w:rFonts w:hint="eastAsia" w:ascii="仿宋_GB2312" w:eastAsia="仿宋_GB2312"/>
          <w:sz w:val="32"/>
          <w:szCs w:val="32"/>
        </w:rPr>
        <w:t>，采用标准</w:t>
      </w:r>
      <w:r>
        <w:rPr>
          <w:rFonts w:ascii="仿宋_GB2312" w:eastAsia="仿宋_GB2312"/>
          <w:sz w:val="32"/>
          <w:szCs w:val="32"/>
        </w:rPr>
        <w:t>的申报</w:t>
      </w:r>
      <w:r>
        <w:rPr>
          <w:rFonts w:hint="eastAsia" w:ascii="仿宋_GB2312" w:eastAsia="仿宋_GB2312"/>
          <w:sz w:val="32"/>
          <w:szCs w:val="32"/>
        </w:rPr>
        <w:t>表格</w:t>
      </w:r>
      <w:r>
        <w:rPr>
          <w:rFonts w:ascii="仿宋_GB2312" w:eastAsia="仿宋_GB2312"/>
          <w:sz w:val="32"/>
          <w:szCs w:val="32"/>
        </w:rPr>
        <w:t>样式，</w:t>
      </w:r>
      <w:r>
        <w:rPr>
          <w:rFonts w:hint="eastAsia" w:ascii="仿宋_GB2312" w:eastAsia="仿宋_GB2312"/>
          <w:sz w:val="32"/>
          <w:szCs w:val="32"/>
        </w:rPr>
        <w:t>精简申报</w:t>
      </w:r>
      <w:r>
        <w:rPr>
          <w:rFonts w:ascii="仿宋_GB2312" w:eastAsia="仿宋_GB2312"/>
          <w:sz w:val="32"/>
          <w:szCs w:val="32"/>
        </w:rPr>
        <w:t>材料。</w:t>
      </w:r>
      <w:r>
        <w:rPr>
          <w:rFonts w:hint="eastAsia" w:ascii="仿宋_GB2312" w:eastAsia="仿宋_GB2312"/>
          <w:sz w:val="32"/>
          <w:szCs w:val="32"/>
        </w:rPr>
        <w:t>进行</w:t>
      </w:r>
      <w:r>
        <w:rPr>
          <w:rFonts w:ascii="仿宋_GB2312" w:eastAsia="仿宋_GB2312"/>
          <w:sz w:val="32"/>
          <w:szCs w:val="32"/>
        </w:rPr>
        <w:t>网上申请审查，</w:t>
      </w:r>
      <w:r>
        <w:rPr>
          <w:rFonts w:hint="eastAsia" w:ascii="仿宋_GB2312" w:eastAsia="仿宋_GB2312"/>
          <w:sz w:val="32"/>
          <w:szCs w:val="32"/>
        </w:rPr>
        <w:t>杜绝</w:t>
      </w:r>
      <w:r>
        <w:rPr>
          <w:rFonts w:ascii="仿宋_GB2312" w:eastAsia="仿宋_GB2312"/>
          <w:sz w:val="32"/>
          <w:szCs w:val="32"/>
        </w:rPr>
        <w:t>多头申报，纸质材料一次性报送，</w:t>
      </w:r>
      <w:r>
        <w:rPr>
          <w:rFonts w:hint="eastAsia" w:ascii="仿宋_GB2312" w:eastAsia="仿宋_GB2312"/>
          <w:sz w:val="32"/>
          <w:szCs w:val="32"/>
        </w:rPr>
        <w:t>每个</w:t>
      </w:r>
      <w:r>
        <w:rPr>
          <w:rFonts w:ascii="仿宋_GB2312" w:eastAsia="仿宋_GB2312"/>
          <w:sz w:val="32"/>
          <w:szCs w:val="32"/>
        </w:rPr>
        <w:t>项目仅报两份材料。</w:t>
      </w:r>
      <w:r>
        <w:rPr>
          <w:rFonts w:hint="eastAsia" w:ascii="仿宋_GB2312" w:eastAsia="仿宋_GB2312"/>
          <w:sz w:val="32"/>
          <w:szCs w:val="32"/>
        </w:rPr>
        <w:t>根据项目类型，实行差异化组织实施方式，原则上通过公开竞争方式选择承担单位。对</w:t>
      </w:r>
      <w:r>
        <w:rPr>
          <w:rFonts w:ascii="仿宋_GB2312" w:eastAsia="仿宋_GB2312"/>
          <w:sz w:val="32"/>
          <w:szCs w:val="32"/>
        </w:rPr>
        <w:t>战略</w:t>
      </w:r>
      <w:r>
        <w:rPr>
          <w:rFonts w:hint="eastAsia" w:ascii="仿宋_GB2312" w:eastAsia="仿宋_GB2312"/>
          <w:sz w:val="32"/>
          <w:szCs w:val="32"/>
        </w:rPr>
        <w:t>目标明确、技术路线清晰、组织程度较高、优势承担单位集中的重大科技项目，可采取定向择优或定向委托等方式确定承担单位。平台</w:t>
      </w:r>
      <w:r>
        <w:rPr>
          <w:rFonts w:ascii="仿宋_GB2312" w:eastAsia="仿宋_GB2312"/>
          <w:sz w:val="32"/>
          <w:szCs w:val="32"/>
        </w:rPr>
        <w:t>载体团队类项目采取评审认定、动态调整和后补助方式予以持续支持</w:t>
      </w:r>
      <w:r>
        <w:rPr>
          <w:rFonts w:hint="eastAsia" w:ascii="仿宋_GB2312" w:eastAsia="仿宋_GB2312"/>
          <w:sz w:val="32"/>
          <w:szCs w:val="32"/>
        </w:rPr>
        <w:t>。</w:t>
      </w:r>
      <w:r>
        <w:rPr>
          <w:rFonts w:ascii="仿宋_GB2312" w:eastAsia="仿宋_GB2312"/>
          <w:sz w:val="32"/>
          <w:szCs w:val="32"/>
        </w:rPr>
        <w:t>成果转化类项目坚持市场导向、需求导向</w:t>
      </w:r>
      <w:r>
        <w:rPr>
          <w:rFonts w:hint="eastAsia" w:ascii="仿宋_GB2312" w:eastAsia="仿宋_GB2312"/>
          <w:sz w:val="32"/>
          <w:szCs w:val="32"/>
        </w:rPr>
        <w:t>，</w:t>
      </w:r>
      <w:r>
        <w:rPr>
          <w:rFonts w:ascii="仿宋_GB2312" w:eastAsia="仿宋_GB2312"/>
          <w:sz w:val="32"/>
          <w:szCs w:val="32"/>
        </w:rPr>
        <w:t>采取标准化审核、后补助形式</w:t>
      </w:r>
      <w:r>
        <w:rPr>
          <w:rFonts w:hint="eastAsia" w:ascii="仿宋_GB2312" w:eastAsia="仿宋_GB2312"/>
          <w:sz w:val="32"/>
          <w:szCs w:val="32"/>
        </w:rPr>
        <w:t>予以</w:t>
      </w:r>
      <w:r>
        <w:rPr>
          <w:rFonts w:ascii="仿宋_GB2312" w:eastAsia="仿宋_GB2312"/>
          <w:sz w:val="32"/>
          <w:szCs w:val="32"/>
        </w:rPr>
        <w:t>支持。</w:t>
      </w:r>
      <w:r>
        <w:rPr>
          <w:rFonts w:hint="eastAsia" w:ascii="仿宋_GB2312" w:eastAsia="仿宋_GB2312"/>
          <w:sz w:val="32"/>
          <w:szCs w:val="32"/>
        </w:rPr>
        <w:t>深入推进军民融合创新，</w:t>
      </w:r>
      <w:r>
        <w:rPr>
          <w:rFonts w:ascii="仿宋_GB2312" w:hAnsi="Verdana" w:eastAsia="仿宋_GB2312"/>
          <w:sz w:val="32"/>
          <w:szCs w:val="32"/>
        </w:rPr>
        <w:t>建立军民融合重大科研任务形成机制，</w:t>
      </w:r>
      <w:r>
        <w:rPr>
          <w:rFonts w:hint="eastAsia" w:ascii="仿宋_GB2312" w:eastAsia="仿宋_GB2312"/>
          <w:sz w:val="32"/>
          <w:szCs w:val="32"/>
        </w:rPr>
        <w:t>推动重大科技项目军地一体论证和实施。</w:t>
      </w:r>
      <w:r>
        <w:rPr>
          <w:rFonts w:hint="eastAsia" w:ascii="楷体_GB2312" w:eastAsia="楷体_GB2312"/>
          <w:sz w:val="32"/>
          <w:szCs w:val="32"/>
        </w:rPr>
        <w:t>(责任单位：自治区科技厅、财政厅、经信委、</w:t>
      </w:r>
      <w:r>
        <w:rPr>
          <w:rFonts w:ascii="楷体_GB2312" w:eastAsia="楷体_GB2312"/>
          <w:sz w:val="32"/>
          <w:szCs w:val="32"/>
        </w:rPr>
        <w:t>发改委</w:t>
      </w:r>
      <w:r>
        <w:rPr>
          <w:rFonts w:hint="eastAsia" w:ascii="楷体_GB2312" w:eastAsia="楷体_GB2312"/>
          <w:sz w:val="32"/>
          <w:szCs w:val="32"/>
        </w:rPr>
        <w:t>）</w:t>
      </w:r>
    </w:p>
    <w:p>
      <w:pPr>
        <w:pStyle w:val="20"/>
        <w:widowControl/>
        <w:numPr>
          <w:ilvl w:val="0"/>
          <w:numId w:val="3"/>
        </w:numPr>
        <w:spacing w:line="360" w:lineRule="auto"/>
        <w:ind w:firstLine="640"/>
        <w:rPr>
          <w:rFonts w:ascii="楷体_GB2312" w:eastAsia="楷体_GB2312"/>
          <w:sz w:val="32"/>
          <w:szCs w:val="32"/>
        </w:rPr>
      </w:pPr>
      <w:r>
        <w:rPr>
          <w:rFonts w:hint="eastAsia" w:ascii="楷体_GB2312" w:eastAsia="楷体_GB2312"/>
          <w:sz w:val="32"/>
          <w:szCs w:val="32"/>
        </w:rPr>
        <w:t>保证项目评审公开公平公正。</w:t>
      </w:r>
      <w:r>
        <w:rPr>
          <w:rFonts w:hint="eastAsia" w:ascii="仿宋_GB2312" w:eastAsia="仿宋_GB2312"/>
          <w:sz w:val="32"/>
          <w:szCs w:val="32"/>
        </w:rPr>
        <w:t>建立完善项目评审工作规则，按照不同立项方式，采取相应的评审程序和方法，同一轮次实行同一种评审方法，避免评审结果出现歧义。评审前</w:t>
      </w:r>
      <w:r>
        <w:rPr>
          <w:rFonts w:ascii="仿宋_GB2312" w:eastAsia="仿宋_GB2312"/>
          <w:sz w:val="32"/>
          <w:szCs w:val="32"/>
        </w:rPr>
        <w:t>先进行重复申报情况调查。</w:t>
      </w:r>
      <w:r>
        <w:rPr>
          <w:rFonts w:hint="eastAsia" w:ascii="仿宋_GB2312" w:eastAsia="仿宋_GB2312"/>
          <w:sz w:val="32"/>
          <w:szCs w:val="32"/>
        </w:rPr>
        <w:t>推行双盲评审</w:t>
      </w:r>
      <w:r>
        <w:rPr>
          <w:rFonts w:ascii="仿宋_GB2312" w:eastAsia="仿宋_GB2312"/>
          <w:sz w:val="32"/>
          <w:szCs w:val="32"/>
        </w:rPr>
        <w:t>、</w:t>
      </w:r>
      <w:r>
        <w:rPr>
          <w:rFonts w:hint="eastAsia" w:ascii="仿宋_GB2312" w:eastAsia="仿宋_GB2312"/>
          <w:sz w:val="32"/>
          <w:szCs w:val="32"/>
        </w:rPr>
        <w:t>视频评审、电话录音、评审结果反馈、立项公示等措施，实现评审全过程的可申诉、可查询、可追溯。建立项目负责人科研背景</w:t>
      </w:r>
      <w:r>
        <w:rPr>
          <w:rFonts w:ascii="仿宋_GB2312" w:eastAsia="仿宋_GB2312"/>
          <w:sz w:val="32"/>
          <w:szCs w:val="32"/>
        </w:rPr>
        <w:t>及承担单位</w:t>
      </w:r>
      <w:r>
        <w:rPr>
          <w:rFonts w:hint="eastAsia" w:ascii="仿宋_GB2312" w:eastAsia="仿宋_GB2312"/>
          <w:sz w:val="32"/>
          <w:szCs w:val="32"/>
        </w:rPr>
        <w:t>核查制度，对立项公示期间存在异议的项目负责人开展科研业绩、经历、诚信情况调查，确保符合项目要求。不同类别自治区科技计划应根据实际情况，在项目申报和评审中，综合考虑负责人和团队实际能力以及项目要求，不得将发表论文、获得专利、荣誉性头衔、承担项目、获奖、</w:t>
      </w:r>
      <w:r>
        <w:rPr>
          <w:rFonts w:ascii="仿宋_GB2312" w:eastAsia="仿宋_GB2312"/>
          <w:sz w:val="32"/>
          <w:szCs w:val="32"/>
        </w:rPr>
        <w:t>职称</w:t>
      </w:r>
      <w:r>
        <w:rPr>
          <w:rFonts w:hint="eastAsia" w:ascii="仿宋_GB2312" w:eastAsia="仿宋_GB2312"/>
          <w:sz w:val="32"/>
          <w:szCs w:val="32"/>
        </w:rPr>
        <w:t>等情况作为限制性条件。建立</w:t>
      </w:r>
      <w:r>
        <w:rPr>
          <w:rFonts w:ascii="仿宋_GB2312" w:eastAsia="仿宋_GB2312"/>
          <w:sz w:val="32"/>
          <w:szCs w:val="32"/>
        </w:rPr>
        <w:t>一次评审、</w:t>
      </w:r>
      <w:r>
        <w:rPr>
          <w:rFonts w:hint="eastAsia" w:ascii="仿宋_GB2312" w:eastAsia="仿宋_GB2312"/>
          <w:sz w:val="32"/>
          <w:szCs w:val="32"/>
        </w:rPr>
        <w:t>两年</w:t>
      </w:r>
      <w:r>
        <w:rPr>
          <w:rFonts w:ascii="仿宋_GB2312" w:eastAsia="仿宋_GB2312"/>
          <w:sz w:val="32"/>
          <w:szCs w:val="32"/>
        </w:rPr>
        <w:t>有效和分年度拨款的</w:t>
      </w:r>
      <w:r>
        <w:rPr>
          <w:rFonts w:hint="eastAsia" w:ascii="仿宋_GB2312" w:eastAsia="仿宋_GB2312"/>
          <w:sz w:val="32"/>
          <w:szCs w:val="32"/>
        </w:rPr>
        <w:t>项目</w:t>
      </w:r>
      <w:r>
        <w:rPr>
          <w:rFonts w:ascii="仿宋_GB2312" w:eastAsia="仿宋_GB2312"/>
          <w:sz w:val="32"/>
          <w:szCs w:val="32"/>
        </w:rPr>
        <w:t>管理制度。</w:t>
      </w:r>
      <w:r>
        <w:rPr>
          <w:rFonts w:hint="eastAsia" w:ascii="楷体_GB2312" w:eastAsia="楷体_GB2312"/>
          <w:sz w:val="32"/>
          <w:szCs w:val="32"/>
        </w:rPr>
        <w:t>(责任单位：自治区科技厅、财政厅)</w:t>
      </w:r>
    </w:p>
    <w:p>
      <w:pPr>
        <w:pStyle w:val="20"/>
        <w:widowControl/>
        <w:numPr>
          <w:ilvl w:val="0"/>
          <w:numId w:val="3"/>
        </w:numPr>
        <w:spacing w:line="360" w:lineRule="auto"/>
        <w:ind w:firstLine="640"/>
        <w:rPr>
          <w:rFonts w:ascii="楷体_GB2312" w:eastAsia="楷体_GB2312"/>
          <w:sz w:val="32"/>
          <w:szCs w:val="32"/>
        </w:rPr>
      </w:pPr>
      <w:r>
        <w:rPr>
          <w:rFonts w:hint="eastAsia" w:ascii="楷体_GB2312" w:eastAsia="楷体_GB2312"/>
          <w:sz w:val="32"/>
          <w:szCs w:val="32"/>
        </w:rPr>
        <w:t>严格评审专家选取使用。</w:t>
      </w:r>
      <w:r>
        <w:rPr>
          <w:rFonts w:hint="eastAsia" w:ascii="仿宋_GB2312" w:eastAsia="仿宋_GB2312"/>
          <w:sz w:val="32"/>
          <w:szCs w:val="32"/>
        </w:rPr>
        <w:t>完善自治区科技专家库，细分专家领域和研究方向，建立科技专家库入库标准和评审专家遴选规范，强化推荐单位对专家信息审核把关责任，定期更新入库信息。针对不同项目类型，合理确定评审专家遴选条件和专家组组成原则，主要选取活跃在科研一线、同行业、同</w:t>
      </w:r>
      <w:r>
        <w:rPr>
          <w:rFonts w:ascii="仿宋_GB2312" w:eastAsia="仿宋_GB2312"/>
          <w:sz w:val="32"/>
          <w:szCs w:val="32"/>
        </w:rPr>
        <w:t>学科</w:t>
      </w:r>
      <w:r>
        <w:rPr>
          <w:rFonts w:hint="eastAsia" w:ascii="仿宋_GB2312" w:eastAsia="仿宋_GB2312"/>
          <w:sz w:val="32"/>
          <w:szCs w:val="32"/>
        </w:rPr>
        <w:t>的专家参与评审。与产业应用结合紧密的项目，还应选取活跃在生产一线的专家参与评审。建立</w:t>
      </w:r>
      <w:r>
        <w:rPr>
          <w:rFonts w:ascii="仿宋_GB2312" w:eastAsia="仿宋_GB2312"/>
          <w:sz w:val="32"/>
          <w:szCs w:val="32"/>
        </w:rPr>
        <w:t>完善评审专家诚信</w:t>
      </w:r>
      <w:r>
        <w:rPr>
          <w:rFonts w:hint="eastAsia" w:ascii="仿宋_GB2312" w:eastAsia="仿宋_GB2312"/>
          <w:sz w:val="32"/>
          <w:szCs w:val="32"/>
        </w:rPr>
        <w:t>记录</w:t>
      </w:r>
      <w:r>
        <w:rPr>
          <w:rFonts w:ascii="仿宋_GB2312" w:eastAsia="仿宋_GB2312"/>
          <w:sz w:val="32"/>
          <w:szCs w:val="32"/>
        </w:rPr>
        <w:t>、动态调整、责任追究制度，严格规范专家评审行为。</w:t>
      </w:r>
      <w:r>
        <w:rPr>
          <w:rFonts w:hint="eastAsia" w:ascii="仿宋_GB2312" w:eastAsia="仿宋_GB2312"/>
          <w:sz w:val="32"/>
          <w:szCs w:val="32"/>
        </w:rPr>
        <w:t>完善专家轮换、随机抽取、回避、公示、信用管理等相关制度，确保专家选取使用科学、公正。评审前专家名单应严格保密。</w:t>
      </w:r>
      <w:r>
        <w:rPr>
          <w:rFonts w:hint="eastAsia" w:ascii="楷体_GB2312" w:eastAsia="楷体_GB2312"/>
          <w:sz w:val="32"/>
          <w:szCs w:val="32"/>
        </w:rPr>
        <w:t>(责任单位：自治区科技厅、财政厅、</w:t>
      </w:r>
      <w:r>
        <w:rPr>
          <w:rFonts w:ascii="楷体_GB2312" w:eastAsia="楷体_GB2312"/>
          <w:sz w:val="32"/>
          <w:szCs w:val="32"/>
        </w:rPr>
        <w:t>人社厅</w:t>
      </w:r>
      <w:r>
        <w:rPr>
          <w:rFonts w:hint="eastAsia" w:ascii="楷体_GB2312" w:eastAsia="楷体_GB2312"/>
          <w:sz w:val="32"/>
          <w:szCs w:val="32"/>
        </w:rPr>
        <w:t>)</w:t>
      </w:r>
    </w:p>
    <w:p>
      <w:pPr>
        <w:pStyle w:val="20"/>
        <w:widowControl/>
        <w:numPr>
          <w:ilvl w:val="0"/>
          <w:numId w:val="3"/>
        </w:numPr>
        <w:spacing w:line="360" w:lineRule="auto"/>
        <w:ind w:firstLine="640"/>
        <w:rPr>
          <w:rFonts w:ascii="楷体_GB2312" w:eastAsia="楷体_GB2312"/>
          <w:sz w:val="32"/>
          <w:szCs w:val="32"/>
        </w:rPr>
      </w:pPr>
      <w:r>
        <w:rPr>
          <w:rFonts w:hint="eastAsia" w:ascii="楷体_GB2312" w:eastAsia="楷体_GB2312"/>
          <w:sz w:val="32"/>
          <w:szCs w:val="32"/>
        </w:rPr>
        <w:t>提高项目评审质量和效率。</w:t>
      </w:r>
      <w:r>
        <w:rPr>
          <w:rFonts w:hint="eastAsia" w:ascii="仿宋_GB2312" w:eastAsia="仿宋_GB2312"/>
          <w:sz w:val="32"/>
          <w:szCs w:val="32"/>
        </w:rPr>
        <w:t>合理确定专家的评审项目数、总时长、项目汇报和质询答辩时间等。会议评审前应组织专家审阅申报材料，确保专家充分了解申报项目情况。项目负责人原则上应亲自汇报答辩，不在项目申报团队内的人员不得参与答辩。进一步优化预算评估工作，只针对拟立项的项目开展预算评估，规范和优化预算评估专家的遴选、评估方法，提高评估质量，及时反馈评估结果。</w:t>
      </w:r>
      <w:r>
        <w:rPr>
          <w:rFonts w:hint="eastAsia" w:ascii="楷体_GB2312" w:eastAsia="楷体_GB2312"/>
          <w:sz w:val="32"/>
          <w:szCs w:val="32"/>
        </w:rPr>
        <w:t>(责任单位：自治区科技厅、财政厅)</w:t>
      </w:r>
    </w:p>
    <w:p>
      <w:pPr>
        <w:pStyle w:val="20"/>
        <w:widowControl/>
        <w:numPr>
          <w:ilvl w:val="0"/>
          <w:numId w:val="3"/>
        </w:numPr>
        <w:spacing w:line="360" w:lineRule="auto"/>
        <w:ind w:firstLine="640"/>
        <w:rPr>
          <w:rFonts w:ascii="楷体_GB2312" w:eastAsia="楷体_GB2312"/>
          <w:sz w:val="32"/>
          <w:szCs w:val="32"/>
        </w:rPr>
      </w:pPr>
      <w:r>
        <w:rPr>
          <w:rFonts w:hint="eastAsia" w:ascii="楷体_GB2312" w:eastAsia="楷体_GB2312"/>
          <w:sz w:val="32"/>
          <w:szCs w:val="32"/>
        </w:rPr>
        <w:t>严格项目成果评价验收。</w:t>
      </w:r>
      <w:r>
        <w:rPr>
          <w:rFonts w:hint="eastAsia" w:ascii="仿宋_GB2312" w:eastAsia="仿宋_GB2312"/>
          <w:sz w:val="32"/>
          <w:szCs w:val="32"/>
        </w:rPr>
        <w:t>项目承担单位对本单位科研成果管理负主体责任，要对本单位科研人员拟公布的成果开展真实性审查。非涉密的自治区科技计划项目成果验收前，应在遵守知识产权保护法律法规的前提下，纳入自治区科技报告系统，向社会公开，接受监督。项目管理机构应按照规定时限和程序组织开展自治区科技计划项目验收，严格依据任务书确定的目标、指标和验收工作标准规范进行考核评价。采取随机抽取的方式确定开展绩效评价的项目，统筹做好项目验收和绩效评估工作，能一次性完成的不再重复组织。成果转化类项目要在项目验收后，不定期组织对成果应用情况的现场抽查、后评估。对项目</w:t>
      </w:r>
      <w:r>
        <w:rPr>
          <w:rFonts w:ascii="仿宋_GB2312" w:eastAsia="仿宋_GB2312"/>
          <w:sz w:val="32"/>
          <w:szCs w:val="32"/>
        </w:rPr>
        <w:t>形成的科学数据</w:t>
      </w:r>
      <w:r>
        <w:rPr>
          <w:rFonts w:hint="eastAsia" w:ascii="仿宋_GB2312" w:eastAsia="仿宋_GB2312"/>
          <w:sz w:val="32"/>
          <w:szCs w:val="32"/>
        </w:rPr>
        <w:t>进行</w:t>
      </w:r>
      <w:r>
        <w:rPr>
          <w:rFonts w:ascii="仿宋_GB2312" w:eastAsia="仿宋_GB2312"/>
          <w:sz w:val="32"/>
          <w:szCs w:val="32"/>
        </w:rPr>
        <w:t>开放共享。</w:t>
      </w:r>
      <w:r>
        <w:rPr>
          <w:rFonts w:hint="eastAsia" w:ascii="楷体_GB2312" w:eastAsia="楷体_GB2312"/>
          <w:sz w:val="32"/>
          <w:szCs w:val="32"/>
        </w:rPr>
        <w:t>(责任单位：自治区科技厅、财政厅、</w:t>
      </w:r>
      <w:r>
        <w:rPr>
          <w:rFonts w:ascii="楷体_GB2312" w:eastAsia="楷体_GB2312"/>
          <w:sz w:val="32"/>
          <w:szCs w:val="32"/>
        </w:rPr>
        <w:t>审计厅</w:t>
      </w:r>
      <w:r>
        <w:rPr>
          <w:rFonts w:hint="eastAsia" w:ascii="楷体_GB2312" w:eastAsia="楷体_GB2312"/>
          <w:sz w:val="32"/>
          <w:szCs w:val="32"/>
        </w:rPr>
        <w:t>)</w:t>
      </w:r>
    </w:p>
    <w:p>
      <w:pPr>
        <w:pStyle w:val="20"/>
        <w:widowControl/>
        <w:numPr>
          <w:ilvl w:val="0"/>
          <w:numId w:val="3"/>
        </w:numPr>
        <w:spacing w:line="360" w:lineRule="auto"/>
        <w:ind w:firstLine="640"/>
        <w:rPr>
          <w:rFonts w:ascii="楷体_GB2312" w:eastAsia="楷体_GB2312"/>
          <w:sz w:val="32"/>
          <w:szCs w:val="32"/>
        </w:rPr>
      </w:pPr>
      <w:r>
        <w:rPr>
          <w:rFonts w:hint="eastAsia" w:ascii="楷体_GB2312" w:eastAsia="楷体_GB2312"/>
          <w:sz w:val="32"/>
          <w:szCs w:val="32"/>
        </w:rPr>
        <w:t>加强科技计划绩效评估。</w:t>
      </w:r>
      <w:r>
        <w:rPr>
          <w:rFonts w:hint="eastAsia" w:ascii="仿宋_GB2312" w:eastAsia="仿宋_GB2312"/>
          <w:sz w:val="32"/>
          <w:szCs w:val="32"/>
        </w:rPr>
        <w:t>建立健全科技计划绩效评估制度，根据不同类别的科技计划，制定合理、有针对性的绩效评估内容和指标体系。评估重点包括科技计划目标定位、任务部署、资源配置与使用、组织管理、实施进展、成果产出、知识产权、人才队伍、目标完成情况、效果与影响等。绩效评估通过公开竞争等方式择优委托独立、公正和具备相应专业能力与条件的第三方评估机构开展，充分发挥第三方评估机构作用。建立评估全过程质量控制和评估报告审查机制，充分保证评估工作方案合理可行、信息真实有效、行为规范有序、过程可追溯、结果客观准确。加强对第三方评估机构的规范和监督。实行评估机构、评估人员和评估（咨询）专家信用记录制度，逐步建立第三方评估机构评估结果负责制和信用评价机制。实施科技计划绩效评估结果共享制度，推动评估工作信息公开，科技计划绩效评估报告等评估工作记录纳入科技管理信息系统。</w:t>
      </w:r>
      <w:r>
        <w:rPr>
          <w:rFonts w:hint="eastAsia" w:ascii="楷体_GB2312" w:eastAsia="楷体_GB2312"/>
          <w:sz w:val="32"/>
          <w:szCs w:val="32"/>
        </w:rPr>
        <w:t>(责任单位：自治区科技厅、财政厅、</w:t>
      </w:r>
      <w:r>
        <w:rPr>
          <w:rFonts w:ascii="楷体_GB2312" w:eastAsia="楷体_GB2312"/>
          <w:sz w:val="32"/>
          <w:szCs w:val="32"/>
        </w:rPr>
        <w:t>审计厅</w:t>
      </w:r>
      <w:r>
        <w:rPr>
          <w:rFonts w:hint="eastAsia" w:ascii="楷体_GB2312" w:eastAsia="楷体_GB2312"/>
          <w:sz w:val="32"/>
          <w:szCs w:val="32"/>
        </w:rPr>
        <w:t>)</w:t>
      </w:r>
    </w:p>
    <w:p>
      <w:pPr>
        <w:pStyle w:val="20"/>
        <w:widowControl/>
        <w:numPr>
          <w:ilvl w:val="0"/>
          <w:numId w:val="3"/>
        </w:numPr>
        <w:spacing w:line="450" w:lineRule="atLeast"/>
        <w:ind w:firstLine="640"/>
        <w:rPr>
          <w:rFonts w:ascii="楷体_GB2312" w:eastAsia="楷体_GB2312"/>
          <w:sz w:val="32"/>
          <w:szCs w:val="32"/>
        </w:rPr>
      </w:pPr>
      <w:r>
        <w:rPr>
          <w:rFonts w:hint="eastAsia" w:ascii="楷体_GB2312" w:eastAsia="楷体_GB2312"/>
          <w:sz w:val="32"/>
          <w:szCs w:val="32"/>
        </w:rPr>
        <w:t>落实深化科技奖励制度改革实施方案。</w:t>
      </w:r>
      <w:r>
        <w:rPr>
          <w:rFonts w:hint="eastAsia" w:ascii="仿宋_GB2312" w:eastAsia="仿宋_GB2312"/>
          <w:sz w:val="32"/>
          <w:szCs w:val="32"/>
        </w:rPr>
        <w:t>改革现行由科研人员申报、单位推荐的方式，实行由符合条件的专家学者、学会、协会等组织机构、自治区有关部门及盟行政公署、市人民政府和其他相关单位提名的制度。提名者应具备相应的资格条件，履行相应程序，承担提名、答辩、异议答复等责任。分等级的科技成果实行按等级标准提名，提名者要说明被提名者的贡献程度及提名奖种、等级建议。提名者提名的成果等级与提名成果获奖等级情况应适时公布。组织</w:t>
      </w:r>
      <w:r>
        <w:rPr>
          <w:rFonts w:ascii="仿宋_GB2312" w:eastAsia="仿宋_GB2312"/>
          <w:sz w:val="32"/>
          <w:szCs w:val="32"/>
        </w:rPr>
        <w:t>评审机构要</w:t>
      </w:r>
      <w:r>
        <w:rPr>
          <w:rFonts w:hint="eastAsia" w:ascii="仿宋_GB2312" w:eastAsia="仿宋_GB2312"/>
          <w:sz w:val="32"/>
          <w:szCs w:val="32"/>
        </w:rPr>
        <w:t>向社会公开奖励政策、评审制度、评审流程和评审结果，坚持形式审查合格成果、自治区奖励委员会审定结果和自治区人民政府批准结果三公开制度。加强对提名前成果完成单位公示情况的抽查，防止暗箱操作。扩大形式审查合格成果内容的公示范围，接受社会各界特别是科技界监督。</w:t>
      </w:r>
      <w:r>
        <w:rPr>
          <w:rFonts w:hint="eastAsia" w:ascii="楷体_GB2312" w:eastAsia="楷体_GB2312"/>
          <w:sz w:val="32"/>
          <w:szCs w:val="32"/>
        </w:rPr>
        <w:t>(责任单位：自治区科技厅、科协)</w:t>
      </w:r>
    </w:p>
    <w:p>
      <w:pPr>
        <w:pStyle w:val="20"/>
        <w:numPr>
          <w:ilvl w:val="0"/>
          <w:numId w:val="1"/>
        </w:numPr>
        <w:ind w:firstLineChars="0"/>
        <w:rPr>
          <w:rFonts w:ascii="黑体" w:hAnsi="黑体" w:eastAsia="黑体" w:cs="宋体"/>
          <w:bCs/>
          <w:kern w:val="0"/>
          <w:sz w:val="32"/>
          <w:szCs w:val="32"/>
        </w:rPr>
      </w:pPr>
      <w:r>
        <w:rPr>
          <w:rFonts w:hint="eastAsia" w:ascii="黑体" w:hAnsi="黑体" w:eastAsia="黑体" w:cs="宋体"/>
          <w:bCs/>
          <w:kern w:val="0"/>
          <w:sz w:val="32"/>
          <w:szCs w:val="32"/>
        </w:rPr>
        <w:t>改进科技人才评价方式</w:t>
      </w:r>
    </w:p>
    <w:p>
      <w:pPr>
        <w:pStyle w:val="20"/>
        <w:numPr>
          <w:ilvl w:val="1"/>
          <w:numId w:val="4"/>
        </w:numPr>
        <w:spacing w:line="620" w:lineRule="exact"/>
        <w:ind w:firstLineChars="0"/>
        <w:rPr>
          <w:rFonts w:ascii="楷体_GB2312" w:eastAsia="楷体_GB2312"/>
          <w:sz w:val="32"/>
          <w:szCs w:val="32"/>
        </w:rPr>
      </w:pPr>
      <w:r>
        <w:rPr>
          <w:rFonts w:hint="eastAsia" w:ascii="楷体_GB2312" w:eastAsia="楷体_GB2312"/>
          <w:sz w:val="32"/>
          <w:szCs w:val="32"/>
        </w:rPr>
        <w:t>统筹科技人才计划。加</w:t>
      </w:r>
      <w:r>
        <w:rPr>
          <w:rFonts w:hint="eastAsia" w:ascii="仿宋_GB2312" w:eastAsia="仿宋_GB2312"/>
          <w:sz w:val="32"/>
          <w:szCs w:val="32"/>
        </w:rPr>
        <w:t>强区</w:t>
      </w:r>
      <w:r>
        <w:rPr>
          <w:rFonts w:ascii="仿宋_GB2312" w:eastAsia="仿宋_GB2312"/>
          <w:sz w:val="32"/>
          <w:szCs w:val="32"/>
        </w:rPr>
        <w:t>直</w:t>
      </w:r>
      <w:r>
        <w:rPr>
          <w:rFonts w:hint="eastAsia" w:ascii="仿宋_GB2312" w:eastAsia="仿宋_GB2312"/>
          <w:sz w:val="32"/>
          <w:szCs w:val="32"/>
        </w:rPr>
        <w:t>部门与盟市的协调，建立人才项目申报查重及处理机制，防止人才申报违规行为，避免同一人才同时</w:t>
      </w:r>
      <w:r>
        <w:rPr>
          <w:rFonts w:ascii="仿宋_GB2312" w:eastAsia="仿宋_GB2312"/>
          <w:sz w:val="32"/>
          <w:szCs w:val="32"/>
        </w:rPr>
        <w:t>享受</w:t>
      </w:r>
      <w:r>
        <w:rPr>
          <w:rFonts w:hint="eastAsia" w:ascii="仿宋_GB2312" w:eastAsia="仿宋_GB2312"/>
          <w:sz w:val="32"/>
          <w:szCs w:val="32"/>
        </w:rPr>
        <w:t>多个类似人才项目支持，提高</w:t>
      </w:r>
      <w:r>
        <w:rPr>
          <w:rFonts w:ascii="仿宋_GB2312" w:eastAsia="仿宋_GB2312"/>
          <w:sz w:val="32"/>
          <w:szCs w:val="32"/>
        </w:rPr>
        <w:t>人才项目和资金的使用效率</w:t>
      </w:r>
      <w:r>
        <w:rPr>
          <w:rFonts w:hint="eastAsia" w:ascii="仿宋_GB2312" w:eastAsia="仿宋_GB2312"/>
          <w:sz w:val="32"/>
          <w:szCs w:val="32"/>
        </w:rPr>
        <w:t>。各地区</w:t>
      </w:r>
      <w:r>
        <w:rPr>
          <w:rFonts w:ascii="仿宋_GB2312" w:eastAsia="仿宋_GB2312"/>
          <w:sz w:val="32"/>
          <w:szCs w:val="32"/>
        </w:rPr>
        <w:t>、各部门、各单位要细分支持对象，明确人才发展阶段，科学合理</w:t>
      </w:r>
      <w:r>
        <w:rPr>
          <w:rFonts w:hint="eastAsia" w:ascii="仿宋_GB2312" w:eastAsia="仿宋_GB2312"/>
          <w:sz w:val="32"/>
          <w:szCs w:val="32"/>
        </w:rPr>
        <w:t>地</w:t>
      </w:r>
      <w:r>
        <w:rPr>
          <w:rFonts w:ascii="仿宋_GB2312" w:eastAsia="仿宋_GB2312"/>
          <w:sz w:val="32"/>
          <w:szCs w:val="32"/>
        </w:rPr>
        <w:t>设置符合人才发展规律的科技人才计划，</w:t>
      </w:r>
      <w:r>
        <w:rPr>
          <w:rFonts w:hint="eastAsia" w:ascii="仿宋_GB2312" w:eastAsia="仿宋_GB2312"/>
          <w:sz w:val="32"/>
          <w:szCs w:val="32"/>
        </w:rPr>
        <w:t>优化人才计划结构。</w:t>
      </w:r>
      <w:r>
        <w:rPr>
          <w:rFonts w:hint="eastAsia" w:ascii="楷体_GB2312" w:eastAsia="楷体_GB2312"/>
          <w:sz w:val="32"/>
          <w:szCs w:val="32"/>
        </w:rPr>
        <w:t>（责任单位</w:t>
      </w:r>
      <w:r>
        <w:rPr>
          <w:rFonts w:ascii="楷体_GB2312" w:eastAsia="楷体_GB2312"/>
          <w:sz w:val="32"/>
          <w:szCs w:val="32"/>
        </w:rPr>
        <w:t>：</w:t>
      </w:r>
      <w:r>
        <w:rPr>
          <w:rFonts w:hint="eastAsia" w:ascii="楷体_GB2312" w:eastAsia="楷体_GB2312"/>
          <w:sz w:val="32"/>
          <w:szCs w:val="32"/>
        </w:rPr>
        <w:t>自治区</w:t>
      </w:r>
      <w:r>
        <w:rPr>
          <w:rFonts w:ascii="楷体_GB2312" w:eastAsia="楷体_GB2312"/>
          <w:sz w:val="32"/>
          <w:szCs w:val="32"/>
        </w:rPr>
        <w:t>科技厅、党委组织部、</w:t>
      </w:r>
      <w:r>
        <w:rPr>
          <w:rFonts w:hint="eastAsia" w:ascii="楷体_GB2312" w:eastAsia="楷体_GB2312"/>
          <w:sz w:val="32"/>
          <w:szCs w:val="32"/>
        </w:rPr>
        <w:t>教育厅</w:t>
      </w:r>
      <w:r>
        <w:rPr>
          <w:rFonts w:ascii="楷体_GB2312" w:eastAsia="楷体_GB2312"/>
          <w:sz w:val="32"/>
          <w:szCs w:val="32"/>
        </w:rPr>
        <w:t>、人社厅</w:t>
      </w:r>
      <w:r>
        <w:rPr>
          <w:rFonts w:hint="eastAsia" w:ascii="楷体_GB2312" w:eastAsia="楷体_GB2312"/>
          <w:sz w:val="32"/>
          <w:szCs w:val="32"/>
        </w:rPr>
        <w:t>、</w:t>
      </w:r>
      <w:r>
        <w:rPr>
          <w:rFonts w:ascii="楷体_GB2312" w:eastAsia="楷体_GB2312"/>
          <w:sz w:val="32"/>
          <w:szCs w:val="32"/>
        </w:rPr>
        <w:t>财政厅</w:t>
      </w:r>
      <w:r>
        <w:rPr>
          <w:rFonts w:hint="eastAsia" w:ascii="楷体_GB2312" w:eastAsia="楷体_GB2312"/>
          <w:sz w:val="32"/>
          <w:szCs w:val="32"/>
        </w:rPr>
        <w:t>）</w:t>
      </w:r>
    </w:p>
    <w:p>
      <w:pPr>
        <w:pStyle w:val="20"/>
        <w:numPr>
          <w:ilvl w:val="1"/>
          <w:numId w:val="4"/>
        </w:numPr>
        <w:spacing w:line="620" w:lineRule="exact"/>
        <w:ind w:firstLineChars="0"/>
        <w:rPr>
          <w:rFonts w:ascii="楷体_GB2312" w:eastAsia="楷体_GB2312"/>
          <w:sz w:val="32"/>
          <w:szCs w:val="32"/>
        </w:rPr>
      </w:pPr>
      <w:r>
        <w:rPr>
          <w:rFonts w:hint="eastAsia" w:ascii="楷体_GB2312" w:eastAsia="楷体_GB2312"/>
          <w:sz w:val="32"/>
          <w:szCs w:val="32"/>
        </w:rPr>
        <w:t>健全科技人才分类评价标准。</w:t>
      </w:r>
      <w:r>
        <w:rPr>
          <w:rFonts w:hint="eastAsia" w:ascii="仿宋_GB2312" w:eastAsia="仿宋_GB2312"/>
          <w:sz w:val="32"/>
          <w:szCs w:val="32"/>
        </w:rPr>
        <w:t>根据</w:t>
      </w:r>
      <w:r>
        <w:rPr>
          <w:rFonts w:hint="eastAsia" w:ascii="仿宋_GB2312" w:hAnsi="仿宋" w:eastAsia="仿宋_GB2312"/>
          <w:sz w:val="32"/>
          <w:szCs w:val="32"/>
        </w:rPr>
        <w:t>科技</w:t>
      </w:r>
      <w:r>
        <w:rPr>
          <w:rFonts w:ascii="仿宋_GB2312" w:hAnsi="仿宋" w:eastAsia="仿宋_GB2312"/>
          <w:sz w:val="32"/>
          <w:szCs w:val="32"/>
        </w:rPr>
        <w:t>人才的工作性质和科技活动特点，将科技人才分为基础研究人才、应用研究与技术开发人才、社会公益研究人才、科技管理服务人才和实验技术人才。</w:t>
      </w:r>
      <w:r>
        <w:rPr>
          <w:rFonts w:hint="eastAsia" w:ascii="仿宋_GB2312" w:hAnsi="仿宋" w:eastAsia="仿宋_GB2312"/>
          <w:sz w:val="32"/>
          <w:szCs w:val="32"/>
        </w:rPr>
        <w:t>按照</w:t>
      </w:r>
      <w:r>
        <w:rPr>
          <w:rFonts w:ascii="仿宋_GB2312" w:hAnsi="仿宋" w:eastAsia="仿宋_GB2312"/>
          <w:sz w:val="32"/>
          <w:szCs w:val="32"/>
        </w:rPr>
        <w:t>各类人才的工作特点和业务要求，</w:t>
      </w:r>
      <w:r>
        <w:rPr>
          <w:rFonts w:hint="eastAsia" w:ascii="仿宋_GB2312" w:hAnsi="仿宋" w:eastAsia="仿宋_GB2312"/>
          <w:sz w:val="32"/>
          <w:szCs w:val="32"/>
        </w:rPr>
        <w:t>建立以科研诚信为基础，以品德、能力、质量、贡献、绩效为导向的科技人才评价标准</w:t>
      </w:r>
      <w:r>
        <w:rPr>
          <w:rFonts w:hint="eastAsia" w:ascii="仿宋_GB2312" w:eastAsia="仿宋_GB2312"/>
          <w:sz w:val="32"/>
          <w:szCs w:val="32"/>
        </w:rPr>
        <w:t>，</w:t>
      </w:r>
      <w:r>
        <w:rPr>
          <w:rFonts w:ascii="仿宋_GB2312" w:eastAsia="仿宋_GB2312"/>
          <w:sz w:val="32"/>
          <w:szCs w:val="32"/>
        </w:rPr>
        <w:t>坚持凭能力、凭</w:t>
      </w:r>
      <w:r>
        <w:rPr>
          <w:rFonts w:hint="eastAsia" w:ascii="仿宋_GB2312" w:eastAsia="仿宋_GB2312"/>
          <w:sz w:val="32"/>
          <w:szCs w:val="32"/>
        </w:rPr>
        <w:t>实绩</w:t>
      </w:r>
      <w:r>
        <w:rPr>
          <w:rFonts w:ascii="仿宋_GB2312" w:eastAsia="仿宋_GB2312"/>
          <w:sz w:val="32"/>
          <w:szCs w:val="32"/>
        </w:rPr>
        <w:t>、凭贡献评价科技人才</w:t>
      </w:r>
      <w:r>
        <w:rPr>
          <w:rFonts w:hint="eastAsia" w:ascii="仿宋_GB2312" w:eastAsia="仿宋_GB2312"/>
          <w:sz w:val="32"/>
          <w:szCs w:val="32"/>
        </w:rPr>
        <w:t>。推行代表作评价制度，把学科领域活跃度和影响力、重要学术组织或期刊任职、研发成果原创性、</w:t>
      </w:r>
      <w:r>
        <w:rPr>
          <w:rFonts w:ascii="仿宋_GB2312" w:eastAsia="仿宋_GB2312"/>
          <w:sz w:val="32"/>
          <w:szCs w:val="32"/>
        </w:rPr>
        <w:t>科技服务满意度</w:t>
      </w:r>
      <w:r>
        <w:rPr>
          <w:rFonts w:hint="eastAsia" w:ascii="仿宋_GB2312" w:eastAsia="仿宋_GB2312"/>
          <w:sz w:val="32"/>
          <w:szCs w:val="32"/>
        </w:rPr>
        <w:t>，特别是</w:t>
      </w:r>
      <w:r>
        <w:rPr>
          <w:rFonts w:ascii="仿宋_GB2312" w:eastAsia="仿宋_GB2312"/>
          <w:sz w:val="32"/>
          <w:szCs w:val="32"/>
        </w:rPr>
        <w:t>针对我区高质量</w:t>
      </w:r>
      <w:r>
        <w:rPr>
          <w:rFonts w:hint="eastAsia" w:ascii="仿宋_GB2312" w:eastAsia="仿宋_GB2312"/>
          <w:sz w:val="32"/>
          <w:szCs w:val="32"/>
        </w:rPr>
        <w:t>发展</w:t>
      </w:r>
      <w:r>
        <w:rPr>
          <w:rFonts w:ascii="仿宋_GB2312" w:eastAsia="仿宋_GB2312"/>
          <w:sz w:val="32"/>
          <w:szCs w:val="32"/>
        </w:rPr>
        <w:t>需求开展的科技</w:t>
      </w:r>
      <w:r>
        <w:rPr>
          <w:rFonts w:hint="eastAsia" w:ascii="仿宋_GB2312" w:hAnsi="Helvetica" w:eastAsia="仿宋_GB2312" w:cs="Helvetica"/>
          <w:sz w:val="32"/>
          <w:szCs w:val="32"/>
        </w:rPr>
        <w:t>成果</w:t>
      </w:r>
      <w:r>
        <w:rPr>
          <w:rFonts w:ascii="仿宋_GB2312" w:hAnsi="Helvetica" w:eastAsia="仿宋_GB2312" w:cs="Helvetica"/>
          <w:sz w:val="32"/>
          <w:szCs w:val="32"/>
        </w:rPr>
        <w:t>转移转化及</w:t>
      </w:r>
      <w:r>
        <w:rPr>
          <w:rFonts w:hint="eastAsia" w:ascii="仿宋_GB2312" w:hAnsi="Helvetica" w:eastAsia="仿宋_GB2312" w:cs="Helvetica"/>
          <w:sz w:val="32"/>
          <w:szCs w:val="32"/>
        </w:rPr>
        <w:t>技术</w:t>
      </w:r>
      <w:r>
        <w:rPr>
          <w:rFonts w:ascii="仿宋_GB2312" w:hAnsi="Helvetica" w:eastAsia="仿宋_GB2312" w:cs="Helvetica"/>
          <w:sz w:val="32"/>
          <w:szCs w:val="32"/>
        </w:rPr>
        <w:t>研发</w:t>
      </w:r>
      <w:r>
        <w:rPr>
          <w:rFonts w:ascii="仿宋_GB2312" w:eastAsia="仿宋_GB2312"/>
          <w:sz w:val="32"/>
          <w:szCs w:val="32"/>
        </w:rPr>
        <w:t>服务绩效</w:t>
      </w:r>
      <w:r>
        <w:rPr>
          <w:rFonts w:hint="eastAsia" w:ascii="仿宋_GB2312" w:hAnsi="Helvetica" w:eastAsia="仿宋_GB2312" w:cs="Helvetica"/>
          <w:sz w:val="32"/>
          <w:szCs w:val="32"/>
        </w:rPr>
        <w:t>作为重要评价</w:t>
      </w:r>
      <w:r>
        <w:rPr>
          <w:rFonts w:ascii="仿宋_GB2312" w:hAnsi="Helvetica" w:eastAsia="仿宋_GB2312" w:cs="Helvetica"/>
          <w:sz w:val="32"/>
          <w:szCs w:val="32"/>
        </w:rPr>
        <w:t>指标</w:t>
      </w:r>
      <w:r>
        <w:rPr>
          <w:rFonts w:hint="eastAsia" w:ascii="仿宋_GB2312" w:eastAsia="仿宋_GB2312"/>
          <w:sz w:val="32"/>
          <w:szCs w:val="32"/>
        </w:rPr>
        <w:t>。注重个人评价与团队评价相结合，尊重和认可团队所有参与者的实际贡献。引进海外人才要加强对其海外教育和科研经历的调查验证，不把教育、工作背景简单等同于科研水平。对</w:t>
      </w:r>
      <w:r>
        <w:rPr>
          <w:rFonts w:ascii="仿宋_GB2312" w:eastAsia="仿宋_GB2312"/>
          <w:sz w:val="32"/>
          <w:szCs w:val="32"/>
        </w:rPr>
        <w:t>引进</w:t>
      </w:r>
      <w:r>
        <w:rPr>
          <w:rFonts w:hint="eastAsia" w:ascii="仿宋_GB2312" w:eastAsia="仿宋_GB2312"/>
          <w:sz w:val="32"/>
          <w:szCs w:val="32"/>
        </w:rPr>
        <w:t>海外</w:t>
      </w:r>
      <w:r>
        <w:rPr>
          <w:rFonts w:ascii="仿宋_GB2312" w:eastAsia="仿宋_GB2312"/>
          <w:sz w:val="32"/>
          <w:szCs w:val="32"/>
        </w:rPr>
        <w:t>高层次人才和急需紧缺人才</w:t>
      </w:r>
      <w:r>
        <w:rPr>
          <w:rFonts w:hint="eastAsia" w:ascii="仿宋_GB2312" w:eastAsia="仿宋_GB2312"/>
          <w:sz w:val="32"/>
          <w:szCs w:val="32"/>
        </w:rPr>
        <w:t>开辟评价绿色</w:t>
      </w:r>
      <w:r>
        <w:rPr>
          <w:rFonts w:ascii="仿宋_GB2312" w:eastAsia="仿宋_GB2312"/>
          <w:sz w:val="32"/>
          <w:szCs w:val="32"/>
        </w:rPr>
        <w:t>通道。</w:t>
      </w:r>
      <w:r>
        <w:rPr>
          <w:rFonts w:hint="eastAsia" w:ascii="仿宋_GB2312" w:eastAsia="仿宋_GB2312"/>
          <w:sz w:val="32"/>
          <w:szCs w:val="32"/>
        </w:rPr>
        <w:t>注重发挥同行评议机制在人才评价过程中的作用。探索对特殊人才采取特殊评价标准。</w:t>
      </w:r>
      <w:r>
        <w:rPr>
          <w:rFonts w:hint="eastAsia" w:ascii="楷体_GB2312" w:eastAsia="楷体_GB2312"/>
          <w:sz w:val="32"/>
          <w:szCs w:val="32"/>
        </w:rPr>
        <w:t>（责任单位</w:t>
      </w:r>
      <w:r>
        <w:rPr>
          <w:rFonts w:ascii="楷体_GB2312" w:eastAsia="楷体_GB2312"/>
          <w:sz w:val="32"/>
          <w:szCs w:val="32"/>
        </w:rPr>
        <w:t>：</w:t>
      </w:r>
      <w:r>
        <w:rPr>
          <w:rFonts w:hint="eastAsia" w:ascii="楷体_GB2312" w:eastAsia="楷体_GB2312"/>
          <w:sz w:val="32"/>
          <w:szCs w:val="32"/>
        </w:rPr>
        <w:t>自治区</w:t>
      </w:r>
      <w:r>
        <w:rPr>
          <w:rFonts w:ascii="楷体_GB2312" w:eastAsia="楷体_GB2312"/>
          <w:sz w:val="32"/>
          <w:szCs w:val="32"/>
        </w:rPr>
        <w:t>人社厅</w:t>
      </w:r>
      <w:r>
        <w:rPr>
          <w:rFonts w:hint="eastAsia" w:ascii="楷体_GB2312" w:eastAsia="楷体_GB2312"/>
          <w:sz w:val="32"/>
          <w:szCs w:val="32"/>
        </w:rPr>
        <w:t>、</w:t>
      </w:r>
      <w:r>
        <w:rPr>
          <w:rFonts w:ascii="楷体_GB2312" w:eastAsia="楷体_GB2312"/>
          <w:sz w:val="32"/>
          <w:szCs w:val="32"/>
        </w:rPr>
        <w:t>科技厅、党委组织部、</w:t>
      </w:r>
      <w:r>
        <w:rPr>
          <w:rFonts w:hint="eastAsia" w:ascii="楷体_GB2312" w:eastAsia="楷体_GB2312"/>
          <w:sz w:val="32"/>
          <w:szCs w:val="32"/>
        </w:rPr>
        <w:t>教育厅）</w:t>
      </w:r>
    </w:p>
    <w:p>
      <w:pPr>
        <w:pStyle w:val="20"/>
        <w:numPr>
          <w:ilvl w:val="1"/>
          <w:numId w:val="4"/>
        </w:numPr>
        <w:spacing w:line="620" w:lineRule="exact"/>
        <w:ind w:firstLineChars="0"/>
        <w:rPr>
          <w:rFonts w:ascii="楷体_GB2312" w:eastAsia="楷体_GB2312"/>
          <w:sz w:val="32"/>
          <w:szCs w:val="32"/>
        </w:rPr>
      </w:pPr>
      <w:r>
        <w:rPr>
          <w:rFonts w:hint="eastAsia" w:ascii="楷体_GB2312" w:eastAsia="楷体_GB2312"/>
          <w:sz w:val="32"/>
          <w:szCs w:val="32"/>
        </w:rPr>
        <w:t>创新科技</w:t>
      </w:r>
      <w:r>
        <w:rPr>
          <w:rFonts w:ascii="楷体_GB2312" w:eastAsia="楷体_GB2312"/>
          <w:sz w:val="32"/>
          <w:szCs w:val="32"/>
        </w:rPr>
        <w:t>人才评价</w:t>
      </w:r>
      <w:r>
        <w:rPr>
          <w:rFonts w:hint="eastAsia" w:ascii="楷体_GB2312" w:eastAsia="楷体_GB2312"/>
          <w:sz w:val="32"/>
          <w:szCs w:val="32"/>
        </w:rPr>
        <w:t>方式</w:t>
      </w:r>
      <w:r>
        <w:rPr>
          <w:rFonts w:ascii="楷体_GB2312" w:eastAsia="楷体_GB2312"/>
          <w:sz w:val="32"/>
          <w:szCs w:val="32"/>
        </w:rPr>
        <w:t>。</w:t>
      </w:r>
      <w:r>
        <w:rPr>
          <w:rFonts w:hint="eastAsia" w:ascii="仿宋_GB2312" w:eastAsia="仿宋_GB2312"/>
          <w:sz w:val="32"/>
          <w:szCs w:val="32"/>
        </w:rPr>
        <w:t>加快转变政府职能</w:t>
      </w:r>
      <w:r>
        <w:rPr>
          <w:rFonts w:hint="eastAsia" w:ascii="仿宋_GB2312" w:hAnsi="仿宋" w:eastAsia="仿宋_GB2312"/>
          <w:sz w:val="32"/>
          <w:szCs w:val="32"/>
        </w:rPr>
        <w:t>，</w:t>
      </w:r>
      <w:r>
        <w:rPr>
          <w:rFonts w:ascii="仿宋_GB2312" w:hAnsi="仿宋" w:eastAsia="仿宋_GB2312"/>
          <w:sz w:val="32"/>
          <w:szCs w:val="32"/>
        </w:rPr>
        <w:t>保障落实用人主体自主权，发挥政府、市场、专业组织、用人单位</w:t>
      </w:r>
      <w:r>
        <w:rPr>
          <w:rFonts w:hint="eastAsia" w:ascii="仿宋_GB2312" w:hAnsi="仿宋" w:eastAsia="仿宋_GB2312"/>
          <w:sz w:val="32"/>
          <w:szCs w:val="32"/>
        </w:rPr>
        <w:t>等</w:t>
      </w:r>
      <w:r>
        <w:rPr>
          <w:rFonts w:ascii="仿宋_GB2312" w:hAnsi="仿宋" w:eastAsia="仿宋_GB2312"/>
          <w:sz w:val="32"/>
          <w:szCs w:val="32"/>
        </w:rPr>
        <w:t>多元评价主体作用</w:t>
      </w:r>
      <w:r>
        <w:rPr>
          <w:rFonts w:hint="eastAsia" w:ascii="仿宋_GB2312" w:hAnsi="仿宋" w:eastAsia="仿宋_GB2312"/>
          <w:sz w:val="32"/>
          <w:szCs w:val="32"/>
        </w:rPr>
        <w:t>，注重</w:t>
      </w:r>
      <w:r>
        <w:rPr>
          <w:rFonts w:ascii="仿宋_GB2312" w:hAnsi="仿宋" w:eastAsia="仿宋_GB2312"/>
          <w:sz w:val="32"/>
          <w:szCs w:val="32"/>
        </w:rPr>
        <w:t>定量评价与定性评价相结合。</w:t>
      </w:r>
      <w:r>
        <w:rPr>
          <w:rFonts w:hint="eastAsia" w:ascii="仿宋_GB2312" w:hAnsi="仿宋" w:eastAsia="仿宋_GB2312"/>
          <w:sz w:val="32"/>
          <w:szCs w:val="32"/>
        </w:rPr>
        <w:t>对基础研究人才，</w:t>
      </w:r>
      <w:r>
        <w:rPr>
          <w:rFonts w:ascii="仿宋_GB2312" w:hAnsi="仿宋" w:eastAsia="仿宋_GB2312"/>
          <w:sz w:val="32"/>
          <w:szCs w:val="32"/>
        </w:rPr>
        <w:t>以同行</w:t>
      </w:r>
      <w:r>
        <w:rPr>
          <w:rFonts w:hint="eastAsia" w:ascii="仿宋_GB2312" w:hAnsi="仿宋" w:eastAsia="仿宋_GB2312"/>
          <w:sz w:val="32"/>
          <w:szCs w:val="32"/>
        </w:rPr>
        <w:t>学术</w:t>
      </w:r>
      <w:r>
        <w:rPr>
          <w:rFonts w:ascii="仿宋_GB2312" w:hAnsi="仿宋" w:eastAsia="仿宋_GB2312"/>
          <w:sz w:val="32"/>
          <w:szCs w:val="32"/>
        </w:rPr>
        <w:t>评价</w:t>
      </w:r>
      <w:r>
        <w:rPr>
          <w:rFonts w:hint="eastAsia" w:ascii="仿宋_GB2312" w:hAnsi="仿宋" w:eastAsia="仿宋_GB2312"/>
          <w:sz w:val="32"/>
          <w:szCs w:val="32"/>
        </w:rPr>
        <w:t>为主</w:t>
      </w:r>
      <w:r>
        <w:rPr>
          <w:rFonts w:ascii="仿宋_GB2312" w:hAnsi="仿宋" w:eastAsia="仿宋_GB2312"/>
          <w:sz w:val="32"/>
          <w:szCs w:val="32"/>
        </w:rPr>
        <w:t>，</w:t>
      </w:r>
      <w:r>
        <w:rPr>
          <w:rFonts w:hint="eastAsia" w:ascii="仿宋_GB2312" w:hAnsi="仿宋" w:eastAsia="仿宋_GB2312"/>
          <w:sz w:val="32"/>
          <w:szCs w:val="32"/>
        </w:rPr>
        <w:t>着重评价其创新研究能力和潜力、成果</w:t>
      </w:r>
      <w:r>
        <w:rPr>
          <w:rFonts w:ascii="仿宋_GB2312" w:hAnsi="仿宋" w:eastAsia="仿宋_GB2312"/>
          <w:sz w:val="32"/>
          <w:szCs w:val="32"/>
        </w:rPr>
        <w:t>的科学价值、</w:t>
      </w:r>
      <w:r>
        <w:rPr>
          <w:rFonts w:hint="eastAsia" w:ascii="仿宋_GB2312" w:hAnsi="仿宋" w:eastAsia="仿宋_GB2312"/>
          <w:sz w:val="32"/>
          <w:szCs w:val="32"/>
        </w:rPr>
        <w:t>学术水平和影响等，</w:t>
      </w:r>
      <w:r>
        <w:rPr>
          <w:rFonts w:ascii="仿宋_GB2312" w:hAnsi="仿宋" w:eastAsia="仿宋_GB2312"/>
          <w:sz w:val="32"/>
          <w:szCs w:val="32"/>
        </w:rPr>
        <w:t>适当延长评价考核周期</w:t>
      </w:r>
      <w:r>
        <w:rPr>
          <w:rFonts w:hint="eastAsia" w:ascii="仿宋_GB2312" w:hAnsi="仿宋" w:eastAsia="仿宋_GB2312"/>
          <w:sz w:val="32"/>
          <w:szCs w:val="32"/>
        </w:rPr>
        <w:t>。对</w:t>
      </w:r>
      <w:r>
        <w:rPr>
          <w:rFonts w:ascii="仿宋_GB2312" w:hAnsi="仿宋" w:eastAsia="仿宋_GB2312"/>
          <w:sz w:val="32"/>
          <w:szCs w:val="32"/>
        </w:rPr>
        <w:t>应用研究与技术开发人才，突出企业主体、市场导向，以用户评价、第三方评价和市场绩效为主</w:t>
      </w:r>
      <w:r>
        <w:rPr>
          <w:rFonts w:hint="eastAsia" w:ascii="仿宋_GB2312" w:hAnsi="仿宋" w:eastAsia="仿宋_GB2312"/>
          <w:sz w:val="32"/>
          <w:szCs w:val="32"/>
        </w:rPr>
        <w:t>，</w:t>
      </w:r>
      <w:r>
        <w:rPr>
          <w:rFonts w:hint="eastAsia" w:ascii="华文仿宋" w:hAnsi="华文仿宋" w:eastAsia="华文仿宋"/>
          <w:sz w:val="32"/>
          <w:szCs w:val="32"/>
        </w:rPr>
        <w:t>着重评价其技术创新与集成能力、取得的自主知识产权和重大技术突破、成果转化、对产业发展的实际贡献等</w:t>
      </w:r>
      <w:r>
        <w:rPr>
          <w:rFonts w:hint="eastAsia" w:ascii="仿宋_GB2312" w:hAnsi="仿宋" w:eastAsia="仿宋_GB2312"/>
          <w:sz w:val="32"/>
          <w:szCs w:val="32"/>
        </w:rPr>
        <w:t>。对</w:t>
      </w:r>
      <w:r>
        <w:rPr>
          <w:rFonts w:ascii="仿宋_GB2312" w:hAnsi="仿宋" w:eastAsia="仿宋_GB2312"/>
          <w:sz w:val="32"/>
          <w:szCs w:val="32"/>
        </w:rPr>
        <w:t>社会公益研究、科技管理服务和实验技术人才，以服务对象评价、第三方评价和工作业绩为主</w:t>
      </w:r>
      <w:r>
        <w:rPr>
          <w:rFonts w:hint="eastAsia" w:ascii="仿宋_GB2312" w:hAnsi="仿宋" w:eastAsia="仿宋_GB2312"/>
          <w:sz w:val="32"/>
          <w:szCs w:val="32"/>
        </w:rPr>
        <w:t>，</w:t>
      </w:r>
      <w:r>
        <w:rPr>
          <w:rFonts w:hint="eastAsia" w:ascii="华文仿宋" w:hAnsi="华文仿宋" w:eastAsia="华文仿宋"/>
          <w:sz w:val="32"/>
          <w:szCs w:val="32"/>
        </w:rPr>
        <w:t>着重评价其为社会公益事业和政府决策提供科技支撑的能力和贡献以及管理服务水平与效率</w:t>
      </w:r>
      <w:r>
        <w:rPr>
          <w:rFonts w:ascii="仿宋_GB2312" w:hAnsi="仿宋" w:eastAsia="仿宋_GB2312"/>
          <w:sz w:val="32"/>
          <w:szCs w:val="32"/>
        </w:rPr>
        <w:t>。</w:t>
      </w:r>
      <w:r>
        <w:rPr>
          <w:rFonts w:hint="eastAsia" w:ascii="仿宋_GB2312" w:hAnsi="仿宋" w:eastAsia="仿宋_GB2312"/>
          <w:sz w:val="32"/>
          <w:szCs w:val="32"/>
        </w:rPr>
        <w:t>遵循</w:t>
      </w:r>
      <w:r>
        <w:rPr>
          <w:rFonts w:ascii="仿宋_GB2312" w:hAnsi="仿宋" w:eastAsia="仿宋_GB2312"/>
          <w:sz w:val="32"/>
          <w:szCs w:val="32"/>
        </w:rPr>
        <w:t>不同类型人才成长发展规律，科学设置人才评价周期，注重过程评价和结果评价</w:t>
      </w:r>
      <w:r>
        <w:rPr>
          <w:rFonts w:hint="eastAsia" w:ascii="仿宋_GB2312" w:hAnsi="仿宋" w:eastAsia="仿宋_GB2312"/>
          <w:sz w:val="32"/>
          <w:szCs w:val="32"/>
        </w:rPr>
        <w:t>相</w:t>
      </w:r>
      <w:r>
        <w:rPr>
          <w:rFonts w:ascii="仿宋_GB2312" w:hAnsi="仿宋" w:eastAsia="仿宋_GB2312"/>
          <w:sz w:val="32"/>
          <w:szCs w:val="32"/>
        </w:rPr>
        <w:t>结合，</w:t>
      </w:r>
      <w:r>
        <w:rPr>
          <w:rFonts w:hint="eastAsia" w:ascii="仿宋_GB2312" w:hAnsi="仿宋" w:eastAsia="仿宋_GB2312"/>
          <w:sz w:val="32"/>
          <w:szCs w:val="32"/>
        </w:rPr>
        <w:t>克服</w:t>
      </w:r>
      <w:r>
        <w:rPr>
          <w:rFonts w:ascii="仿宋_GB2312" w:hAnsi="仿宋" w:eastAsia="仿宋_GB2312"/>
          <w:sz w:val="32"/>
          <w:szCs w:val="32"/>
        </w:rPr>
        <w:t>评价考核过于频繁倾向。</w:t>
      </w:r>
      <w:r>
        <w:rPr>
          <w:rFonts w:hint="eastAsia" w:ascii="楷体_GB2312" w:eastAsia="楷体_GB2312"/>
          <w:sz w:val="32"/>
          <w:szCs w:val="32"/>
        </w:rPr>
        <w:t>（责任单位</w:t>
      </w:r>
      <w:r>
        <w:rPr>
          <w:rFonts w:ascii="楷体_GB2312" w:eastAsia="楷体_GB2312"/>
          <w:sz w:val="32"/>
          <w:szCs w:val="32"/>
        </w:rPr>
        <w:t>：</w:t>
      </w:r>
      <w:r>
        <w:rPr>
          <w:rFonts w:hint="eastAsia" w:ascii="楷体_GB2312" w:eastAsia="楷体_GB2312"/>
          <w:sz w:val="32"/>
          <w:szCs w:val="32"/>
        </w:rPr>
        <w:t>自治区党委</w:t>
      </w:r>
      <w:r>
        <w:rPr>
          <w:rFonts w:ascii="楷体_GB2312" w:eastAsia="楷体_GB2312"/>
          <w:sz w:val="32"/>
          <w:szCs w:val="32"/>
        </w:rPr>
        <w:t>组织部、科技厅、人社厅</w:t>
      </w:r>
      <w:r>
        <w:rPr>
          <w:rFonts w:hint="eastAsia" w:ascii="楷体_GB2312" w:eastAsia="楷体_GB2312"/>
          <w:sz w:val="32"/>
          <w:szCs w:val="32"/>
        </w:rPr>
        <w:t>、教育厅）</w:t>
      </w:r>
    </w:p>
    <w:p>
      <w:pPr>
        <w:pStyle w:val="20"/>
        <w:numPr>
          <w:ilvl w:val="1"/>
          <w:numId w:val="4"/>
        </w:numPr>
        <w:spacing w:line="620" w:lineRule="exact"/>
        <w:ind w:firstLineChars="0"/>
        <w:rPr>
          <w:rFonts w:ascii="楷体_GB2312" w:eastAsia="楷体_GB2312"/>
          <w:sz w:val="32"/>
          <w:szCs w:val="32"/>
        </w:rPr>
      </w:pPr>
      <w:r>
        <w:rPr>
          <w:rFonts w:hint="eastAsia" w:ascii="楷体_GB2312" w:eastAsia="楷体_GB2312"/>
          <w:sz w:val="32"/>
          <w:szCs w:val="32"/>
        </w:rPr>
        <w:t>树立正确的人才评价使用导向。</w:t>
      </w:r>
      <w:r>
        <w:rPr>
          <w:rFonts w:hint="eastAsia" w:ascii="仿宋_GB2312" w:eastAsia="仿宋_GB2312"/>
          <w:sz w:val="32"/>
          <w:szCs w:val="32"/>
        </w:rPr>
        <w:t>坚持正确价值导向，引导人才称号回归学术性、荣誉性本质，不把</w:t>
      </w:r>
      <w:r>
        <w:rPr>
          <w:rFonts w:ascii="仿宋_GB2312" w:eastAsia="仿宋_GB2312"/>
          <w:sz w:val="32"/>
          <w:szCs w:val="32"/>
        </w:rPr>
        <w:t>学术头衔、</w:t>
      </w:r>
      <w:r>
        <w:rPr>
          <w:rFonts w:hint="eastAsia" w:ascii="仿宋_GB2312" w:eastAsia="仿宋_GB2312"/>
          <w:sz w:val="32"/>
          <w:szCs w:val="32"/>
        </w:rPr>
        <w:t>人才荣誉性称号与承担科技计划项目、科技奖励、职称评定、岗位聘用、薪酬待遇、</w:t>
      </w:r>
      <w:r>
        <w:rPr>
          <w:rFonts w:ascii="仿宋_GB2312" w:eastAsia="仿宋_GB2312"/>
          <w:sz w:val="32"/>
          <w:szCs w:val="32"/>
        </w:rPr>
        <w:t>配置学术</w:t>
      </w:r>
      <w:r>
        <w:rPr>
          <w:rFonts w:hint="eastAsia" w:ascii="仿宋_GB2312" w:eastAsia="仿宋_GB2312"/>
          <w:sz w:val="32"/>
          <w:szCs w:val="32"/>
        </w:rPr>
        <w:t>资源等简单</w:t>
      </w:r>
      <w:r>
        <w:rPr>
          <w:rFonts w:ascii="仿宋_GB2312" w:eastAsia="仿宋_GB2312"/>
          <w:sz w:val="32"/>
          <w:szCs w:val="32"/>
        </w:rPr>
        <w:t>、</w:t>
      </w:r>
      <w:r>
        <w:rPr>
          <w:rFonts w:hint="eastAsia" w:ascii="仿宋_GB2312" w:eastAsia="仿宋_GB2312"/>
          <w:sz w:val="32"/>
          <w:szCs w:val="32"/>
        </w:rPr>
        <w:t>直接挂钩。引导人才良性竞争和合理有序流动，探索人才共享机制。合理发挥</w:t>
      </w:r>
      <w:r>
        <w:rPr>
          <w:rFonts w:ascii="仿宋_GB2312" w:eastAsia="仿宋_GB2312"/>
          <w:sz w:val="32"/>
          <w:szCs w:val="32"/>
        </w:rPr>
        <w:t>市场机制作用，</w:t>
      </w:r>
      <w:r>
        <w:rPr>
          <w:rFonts w:hint="eastAsia" w:ascii="仿宋_GB2312" w:eastAsia="仿宋_GB2312"/>
          <w:sz w:val="32"/>
          <w:szCs w:val="32"/>
        </w:rPr>
        <w:t>逐步</w:t>
      </w:r>
      <w:r>
        <w:rPr>
          <w:rFonts w:ascii="仿宋_GB2312" w:eastAsia="仿宋_GB2312"/>
          <w:sz w:val="32"/>
          <w:szCs w:val="32"/>
        </w:rPr>
        <w:t>建立高层次人才流动的培养</w:t>
      </w:r>
      <w:r>
        <w:rPr>
          <w:rFonts w:hint="eastAsia" w:ascii="仿宋_GB2312" w:eastAsia="仿宋_GB2312"/>
          <w:sz w:val="32"/>
          <w:szCs w:val="32"/>
        </w:rPr>
        <w:t>补偿机制</w:t>
      </w:r>
      <w:r>
        <w:rPr>
          <w:rFonts w:ascii="仿宋_GB2312" w:eastAsia="仿宋_GB2312"/>
          <w:sz w:val="32"/>
          <w:szCs w:val="32"/>
        </w:rPr>
        <w:t>。</w:t>
      </w:r>
      <w:r>
        <w:rPr>
          <w:rFonts w:hint="eastAsia" w:ascii="楷体_GB2312" w:eastAsia="楷体_GB2312"/>
          <w:sz w:val="32"/>
          <w:szCs w:val="32"/>
        </w:rPr>
        <w:t>（责任单位</w:t>
      </w:r>
      <w:r>
        <w:rPr>
          <w:rFonts w:ascii="楷体_GB2312" w:eastAsia="楷体_GB2312"/>
          <w:sz w:val="32"/>
          <w:szCs w:val="32"/>
        </w:rPr>
        <w:t>：</w:t>
      </w:r>
      <w:r>
        <w:rPr>
          <w:rFonts w:hint="eastAsia" w:ascii="楷体_GB2312" w:eastAsia="楷体_GB2312"/>
          <w:sz w:val="32"/>
          <w:szCs w:val="32"/>
        </w:rPr>
        <w:t>自治区党委</w:t>
      </w:r>
      <w:r>
        <w:rPr>
          <w:rFonts w:ascii="楷体_GB2312" w:eastAsia="楷体_GB2312"/>
          <w:sz w:val="32"/>
          <w:szCs w:val="32"/>
        </w:rPr>
        <w:t>组织部、科技厅、人社厅</w:t>
      </w:r>
      <w:r>
        <w:rPr>
          <w:rFonts w:hint="eastAsia" w:ascii="楷体_GB2312" w:eastAsia="楷体_GB2312"/>
          <w:sz w:val="32"/>
          <w:szCs w:val="32"/>
        </w:rPr>
        <w:t>、教育厅）</w:t>
      </w:r>
    </w:p>
    <w:p>
      <w:pPr>
        <w:pStyle w:val="20"/>
        <w:numPr>
          <w:ilvl w:val="1"/>
          <w:numId w:val="4"/>
        </w:numPr>
        <w:spacing w:line="620" w:lineRule="exact"/>
        <w:ind w:firstLineChars="0"/>
        <w:rPr>
          <w:rFonts w:ascii="楷体_GB2312" w:eastAsia="楷体_GB2312"/>
          <w:sz w:val="32"/>
          <w:szCs w:val="32"/>
        </w:rPr>
      </w:pPr>
      <w:r>
        <w:rPr>
          <w:rFonts w:hint="eastAsia" w:ascii="楷体_GB2312" w:eastAsia="楷体_GB2312"/>
          <w:sz w:val="32"/>
          <w:szCs w:val="32"/>
        </w:rPr>
        <w:t>强化用人单位人才评价主体地位。</w:t>
      </w:r>
      <w:r>
        <w:rPr>
          <w:rFonts w:hint="eastAsia" w:ascii="仿宋_GB2312" w:eastAsia="仿宋_GB2312"/>
          <w:sz w:val="32"/>
          <w:szCs w:val="32"/>
        </w:rPr>
        <w:t>完善分级负责机制，坚持评用结合，支持用人单位健全科技人才评价组织管理，根据单位实际建立人才分类评价指标体系，突出岗位履职评价，完善内部监督机制，使人才发展与单位使命更好协调统一。推进落实职称评审权限下放改革措施，支持符合条件的高校、科研院所、医院、大型企业等单位自主开展职称评审。</w:t>
      </w:r>
      <w:r>
        <w:rPr>
          <w:rFonts w:hint="eastAsia" w:ascii="楷体_GB2312" w:eastAsia="楷体_GB2312"/>
          <w:sz w:val="32"/>
          <w:szCs w:val="32"/>
        </w:rPr>
        <w:t>（责任单位</w:t>
      </w:r>
      <w:r>
        <w:rPr>
          <w:rFonts w:ascii="楷体_GB2312" w:eastAsia="楷体_GB2312"/>
          <w:sz w:val="32"/>
          <w:szCs w:val="32"/>
        </w:rPr>
        <w:t>：</w:t>
      </w:r>
      <w:r>
        <w:rPr>
          <w:rFonts w:hint="eastAsia" w:ascii="楷体_GB2312" w:eastAsia="楷体_GB2312"/>
          <w:sz w:val="32"/>
          <w:szCs w:val="32"/>
        </w:rPr>
        <w:t>自治区</w:t>
      </w:r>
      <w:r>
        <w:rPr>
          <w:rFonts w:ascii="楷体_GB2312" w:eastAsia="楷体_GB2312"/>
          <w:sz w:val="32"/>
          <w:szCs w:val="32"/>
        </w:rPr>
        <w:t>人社厅</w:t>
      </w:r>
      <w:r>
        <w:rPr>
          <w:rFonts w:hint="eastAsia" w:ascii="楷体_GB2312" w:eastAsia="楷体_GB2312"/>
          <w:sz w:val="32"/>
          <w:szCs w:val="32"/>
        </w:rPr>
        <w:t>、</w:t>
      </w:r>
      <w:r>
        <w:rPr>
          <w:rFonts w:ascii="楷体_GB2312" w:eastAsia="楷体_GB2312"/>
          <w:sz w:val="32"/>
          <w:szCs w:val="32"/>
        </w:rPr>
        <w:t>科技厅、</w:t>
      </w:r>
      <w:r>
        <w:rPr>
          <w:rFonts w:hint="eastAsia" w:ascii="楷体_GB2312" w:eastAsia="楷体_GB2312"/>
          <w:sz w:val="32"/>
          <w:szCs w:val="32"/>
        </w:rPr>
        <w:t>教育厅）</w:t>
      </w:r>
    </w:p>
    <w:p>
      <w:pPr>
        <w:pStyle w:val="20"/>
        <w:numPr>
          <w:ilvl w:val="1"/>
          <w:numId w:val="4"/>
        </w:numPr>
        <w:spacing w:line="620" w:lineRule="exact"/>
        <w:ind w:firstLineChars="0"/>
        <w:rPr>
          <w:rFonts w:ascii="仿宋_GB2312"/>
          <w:sz w:val="32"/>
          <w:szCs w:val="32"/>
        </w:rPr>
      </w:pPr>
      <w:r>
        <w:rPr>
          <w:rFonts w:hint="eastAsia" w:ascii="楷体_GB2312" w:eastAsia="楷体_GB2312"/>
          <w:sz w:val="32"/>
          <w:szCs w:val="32"/>
        </w:rPr>
        <w:t>加大对优秀</w:t>
      </w:r>
      <w:r>
        <w:rPr>
          <w:rFonts w:ascii="楷体_GB2312" w:eastAsia="楷体_GB2312"/>
          <w:sz w:val="32"/>
          <w:szCs w:val="32"/>
        </w:rPr>
        <w:t>人才</w:t>
      </w:r>
      <w:r>
        <w:rPr>
          <w:rFonts w:hint="eastAsia" w:ascii="楷体_GB2312" w:eastAsia="楷体_GB2312"/>
          <w:sz w:val="32"/>
          <w:szCs w:val="32"/>
        </w:rPr>
        <w:t>团队和</w:t>
      </w:r>
      <w:r>
        <w:rPr>
          <w:rFonts w:ascii="楷体_GB2312" w:eastAsia="楷体_GB2312"/>
          <w:sz w:val="32"/>
          <w:szCs w:val="32"/>
        </w:rPr>
        <w:t>青年人才</w:t>
      </w:r>
      <w:r>
        <w:rPr>
          <w:rFonts w:hint="eastAsia" w:ascii="楷体_GB2312" w:eastAsia="楷体_GB2312"/>
          <w:sz w:val="32"/>
          <w:szCs w:val="32"/>
        </w:rPr>
        <w:t>的</w:t>
      </w:r>
      <w:r>
        <w:rPr>
          <w:rFonts w:ascii="楷体_GB2312" w:eastAsia="楷体_GB2312"/>
          <w:sz w:val="32"/>
          <w:szCs w:val="32"/>
        </w:rPr>
        <w:t>激励支持力度。</w:t>
      </w:r>
      <w:r>
        <w:rPr>
          <w:rFonts w:hint="eastAsia" w:ascii="仿宋_GB2312" w:eastAsia="仿宋_GB2312"/>
          <w:sz w:val="32"/>
          <w:szCs w:val="32"/>
        </w:rPr>
        <w:t>对国家和自治区创新平台的全职科研人员及团队，由自治区财政给予中长期目标导向的持续稳定经费支持。</w:t>
      </w:r>
      <w:r>
        <w:rPr>
          <w:rFonts w:ascii="仿宋_GB2312" w:eastAsia="仿宋_GB2312"/>
          <w:sz w:val="32"/>
          <w:szCs w:val="32"/>
        </w:rPr>
        <w:t>探索建立优秀青年人才举荐制度，大力培养有发展潜力、有真才实学、堪当重任的优秀青年人才。加大</w:t>
      </w:r>
      <w:r>
        <w:rPr>
          <w:rFonts w:hint="eastAsia" w:ascii="仿宋_GB2312" w:eastAsia="仿宋_GB2312"/>
          <w:sz w:val="32"/>
          <w:szCs w:val="32"/>
        </w:rPr>
        <w:t>各类</w:t>
      </w:r>
      <w:r>
        <w:rPr>
          <w:rFonts w:ascii="仿宋_GB2312" w:eastAsia="仿宋_GB2312"/>
          <w:sz w:val="32"/>
          <w:szCs w:val="32"/>
        </w:rPr>
        <w:t>计划、项目、人才工程等对青年人才支持力度，设立青年专项</w:t>
      </w:r>
      <w:r>
        <w:rPr>
          <w:rFonts w:hint="eastAsia" w:ascii="仿宋_GB2312" w:eastAsia="仿宋_GB2312"/>
          <w:sz w:val="32"/>
          <w:szCs w:val="32"/>
        </w:rPr>
        <w:t>。推动</w:t>
      </w:r>
      <w:r>
        <w:rPr>
          <w:rFonts w:ascii="仿宋_GB2312" w:eastAsia="仿宋_GB2312"/>
          <w:sz w:val="32"/>
          <w:szCs w:val="32"/>
        </w:rPr>
        <w:t>高校、科研</w:t>
      </w:r>
      <w:r>
        <w:rPr>
          <w:rFonts w:hint="eastAsia" w:ascii="仿宋_GB2312" w:eastAsia="仿宋_GB2312"/>
          <w:sz w:val="32"/>
          <w:szCs w:val="32"/>
        </w:rPr>
        <w:t>院所</w:t>
      </w:r>
      <w:r>
        <w:rPr>
          <w:rFonts w:ascii="仿宋_GB2312" w:eastAsia="仿宋_GB2312"/>
          <w:sz w:val="32"/>
          <w:szCs w:val="32"/>
        </w:rPr>
        <w:t>完善基本科研业务费的内部管理机制，加强</w:t>
      </w:r>
      <w:r>
        <w:rPr>
          <w:rFonts w:hint="eastAsia" w:ascii="仿宋_GB2312" w:eastAsia="仿宋_GB2312"/>
          <w:sz w:val="32"/>
          <w:szCs w:val="32"/>
        </w:rPr>
        <w:t>对青年</w:t>
      </w:r>
      <w:r>
        <w:rPr>
          <w:rFonts w:ascii="仿宋_GB2312" w:eastAsia="仿宋_GB2312"/>
          <w:sz w:val="32"/>
          <w:szCs w:val="32"/>
        </w:rPr>
        <w:t>科研人员的支持。</w:t>
      </w:r>
      <w:r>
        <w:rPr>
          <w:rFonts w:hint="eastAsia" w:ascii="楷体_GB2312" w:eastAsia="楷体_GB2312"/>
          <w:sz w:val="32"/>
          <w:szCs w:val="32"/>
        </w:rPr>
        <w:t>（责任单位</w:t>
      </w:r>
      <w:r>
        <w:rPr>
          <w:rFonts w:ascii="楷体_GB2312" w:eastAsia="楷体_GB2312"/>
          <w:sz w:val="32"/>
          <w:szCs w:val="32"/>
        </w:rPr>
        <w:t>：</w:t>
      </w:r>
      <w:r>
        <w:rPr>
          <w:rFonts w:hint="eastAsia" w:ascii="楷体_GB2312" w:eastAsia="楷体_GB2312"/>
          <w:sz w:val="32"/>
          <w:szCs w:val="32"/>
        </w:rPr>
        <w:t>自治区党委</w:t>
      </w:r>
      <w:r>
        <w:rPr>
          <w:rFonts w:ascii="楷体_GB2312" w:eastAsia="楷体_GB2312"/>
          <w:sz w:val="32"/>
          <w:szCs w:val="32"/>
        </w:rPr>
        <w:t>组织部</w:t>
      </w:r>
      <w:r>
        <w:rPr>
          <w:rFonts w:hint="eastAsia" w:ascii="楷体_GB2312" w:eastAsia="楷体_GB2312"/>
          <w:sz w:val="32"/>
          <w:szCs w:val="32"/>
        </w:rPr>
        <w:t>、</w:t>
      </w:r>
      <w:r>
        <w:rPr>
          <w:rFonts w:ascii="楷体_GB2312" w:eastAsia="楷体_GB2312"/>
          <w:sz w:val="32"/>
          <w:szCs w:val="32"/>
        </w:rPr>
        <w:t>人社厅</w:t>
      </w:r>
      <w:r>
        <w:rPr>
          <w:rFonts w:hint="eastAsia" w:ascii="楷体_GB2312" w:eastAsia="楷体_GB2312"/>
          <w:sz w:val="32"/>
          <w:szCs w:val="32"/>
        </w:rPr>
        <w:t>、财政</w:t>
      </w:r>
      <w:r>
        <w:rPr>
          <w:rFonts w:ascii="楷体_GB2312" w:eastAsia="楷体_GB2312"/>
          <w:sz w:val="32"/>
          <w:szCs w:val="32"/>
        </w:rPr>
        <w:t>厅、科技厅、</w:t>
      </w:r>
      <w:r>
        <w:rPr>
          <w:rFonts w:hint="eastAsia" w:ascii="楷体_GB2312" w:eastAsia="楷体_GB2312"/>
          <w:sz w:val="32"/>
          <w:szCs w:val="32"/>
        </w:rPr>
        <w:t>教育厅）</w:t>
      </w:r>
    </w:p>
    <w:p>
      <w:pPr>
        <w:pStyle w:val="20"/>
        <w:numPr>
          <w:ilvl w:val="0"/>
          <w:numId w:val="1"/>
        </w:numPr>
        <w:ind w:firstLineChars="0"/>
        <w:rPr>
          <w:rFonts w:ascii="黑体" w:hAnsi="黑体" w:eastAsia="黑体" w:cs="宋体"/>
          <w:bCs/>
          <w:kern w:val="0"/>
          <w:sz w:val="32"/>
          <w:szCs w:val="32"/>
        </w:rPr>
      </w:pPr>
      <w:r>
        <w:rPr>
          <w:rFonts w:hint="eastAsia" w:ascii="黑体" w:hAnsi="黑体" w:eastAsia="黑体" w:cs="宋体"/>
          <w:bCs/>
          <w:kern w:val="0"/>
          <w:sz w:val="32"/>
          <w:szCs w:val="32"/>
        </w:rPr>
        <w:t>完善</w:t>
      </w:r>
      <w:r>
        <w:rPr>
          <w:rFonts w:ascii="黑体" w:hAnsi="黑体" w:eastAsia="黑体" w:cs="宋体"/>
          <w:bCs/>
          <w:kern w:val="0"/>
          <w:sz w:val="32"/>
          <w:szCs w:val="32"/>
        </w:rPr>
        <w:t>科研</w:t>
      </w:r>
      <w:r>
        <w:rPr>
          <w:rFonts w:hint="eastAsia" w:ascii="黑体" w:hAnsi="黑体" w:eastAsia="黑体" w:cs="宋体"/>
          <w:bCs/>
          <w:kern w:val="0"/>
          <w:sz w:val="32"/>
          <w:szCs w:val="32"/>
        </w:rPr>
        <w:t>机构评估制度</w:t>
      </w:r>
    </w:p>
    <w:p>
      <w:pPr>
        <w:pStyle w:val="20"/>
        <w:widowControl/>
        <w:numPr>
          <w:ilvl w:val="1"/>
          <w:numId w:val="5"/>
        </w:numPr>
        <w:spacing w:line="360" w:lineRule="auto"/>
        <w:ind w:firstLineChars="0"/>
        <w:rPr>
          <w:rFonts w:ascii="楷体_GB2312" w:eastAsia="楷体_GB2312"/>
          <w:sz w:val="32"/>
          <w:szCs w:val="32"/>
        </w:rPr>
      </w:pPr>
      <w:r>
        <w:rPr>
          <w:rFonts w:hint="eastAsia" w:ascii="楷体_GB2312" w:eastAsia="楷体_GB2312"/>
          <w:sz w:val="32"/>
          <w:szCs w:val="32"/>
        </w:rPr>
        <w:t>推</w:t>
      </w:r>
      <w:r>
        <w:rPr>
          <w:rFonts w:ascii="楷体_GB2312" w:eastAsia="楷体_GB2312"/>
          <w:sz w:val="32"/>
          <w:szCs w:val="32"/>
        </w:rPr>
        <w:t>行章程管理。</w:t>
      </w:r>
      <w:r>
        <w:rPr>
          <w:rFonts w:hint="eastAsia" w:ascii="仿宋_GB2312" w:eastAsia="仿宋_GB2312"/>
          <w:sz w:val="32"/>
          <w:szCs w:val="32"/>
        </w:rPr>
        <w:t>推动自治区级科研事业单位制定章程，明确单位的宗旨目标、功能定位、业务范围、领导体制、运行管理机制等。确立章程在单位管理运行中的基础性制度地位，建立依章程管理工作</w:t>
      </w:r>
      <w:r>
        <w:rPr>
          <w:rFonts w:ascii="仿宋_GB2312" w:eastAsia="仿宋_GB2312"/>
          <w:sz w:val="32"/>
          <w:szCs w:val="32"/>
        </w:rPr>
        <w:t>机制</w:t>
      </w:r>
      <w:r>
        <w:rPr>
          <w:rFonts w:hint="eastAsia" w:ascii="仿宋_GB2312" w:eastAsia="仿宋_GB2312"/>
          <w:sz w:val="32"/>
          <w:szCs w:val="32"/>
        </w:rPr>
        <w:t>。</w:t>
      </w:r>
      <w:r>
        <w:rPr>
          <w:rFonts w:hint="eastAsia" w:ascii="楷体_GB2312" w:eastAsia="楷体_GB2312"/>
          <w:sz w:val="32"/>
          <w:szCs w:val="32"/>
        </w:rPr>
        <w:t>（责任单位：自治区编办、人社厅、科技厅）</w:t>
      </w:r>
    </w:p>
    <w:p>
      <w:pPr>
        <w:pStyle w:val="20"/>
        <w:widowControl/>
        <w:numPr>
          <w:ilvl w:val="1"/>
          <w:numId w:val="5"/>
        </w:numPr>
        <w:spacing w:line="360" w:lineRule="auto"/>
        <w:ind w:firstLineChars="0"/>
        <w:rPr>
          <w:rFonts w:ascii="仿宋_GB2312" w:eastAsia="仿宋_GB2312"/>
          <w:sz w:val="32"/>
          <w:szCs w:val="32"/>
        </w:rPr>
      </w:pPr>
      <w:r>
        <w:rPr>
          <w:rFonts w:hint="eastAsia" w:ascii="楷体_GB2312" w:hAnsi="Helvetica" w:eastAsia="楷体_GB2312"/>
          <w:sz w:val="32"/>
          <w:szCs w:val="32"/>
        </w:rPr>
        <w:t>落实法人自主权。</w:t>
      </w:r>
      <w:r>
        <w:rPr>
          <w:rFonts w:hint="eastAsia" w:ascii="仿宋_GB2312" w:hAnsi="Helvetica" w:eastAsia="仿宋_GB2312"/>
          <w:sz w:val="32"/>
          <w:szCs w:val="32"/>
        </w:rPr>
        <w:t>自治区级科研事业单位主管部门要加快推进政事分开、管办分离，赋予科研事业单位充分自主权，对章程明确赋予科研事业单位管理权限的事务，由单位自主独立决策、科学有效管理，少干预或不干预。细化自主权的行使规则与监督制度，明确重大管理决策事项的基本规则、决策程序、监督机制、责任机制，形成完善的内控机制，保障科研事业单位依法合规管理运行。切实发挥单位党委（党组）把方向</w:t>
      </w:r>
      <w:r>
        <w:rPr>
          <w:rFonts w:ascii="仿宋_GB2312" w:hAnsi="Helvetica" w:eastAsia="仿宋_GB2312"/>
          <w:sz w:val="32"/>
          <w:szCs w:val="32"/>
        </w:rPr>
        <w:t>、管大局、保落实</w:t>
      </w:r>
      <w:r>
        <w:rPr>
          <w:rFonts w:hint="eastAsia" w:ascii="仿宋_GB2312" w:hAnsi="Helvetica" w:eastAsia="仿宋_GB2312"/>
          <w:sz w:val="32"/>
          <w:szCs w:val="32"/>
        </w:rPr>
        <w:t>的重要作用，坚决防止党的领导弱化、党的建设缺失。</w:t>
      </w:r>
      <w:r>
        <w:rPr>
          <w:rFonts w:hint="eastAsia" w:ascii="楷体_GB2312" w:eastAsia="楷体_GB2312"/>
          <w:sz w:val="32"/>
          <w:szCs w:val="32"/>
        </w:rPr>
        <w:t>（责任单位：自治区党委</w:t>
      </w:r>
      <w:r>
        <w:rPr>
          <w:rFonts w:ascii="楷体_GB2312" w:eastAsia="楷体_GB2312"/>
          <w:sz w:val="32"/>
          <w:szCs w:val="32"/>
        </w:rPr>
        <w:t>组织部、</w:t>
      </w:r>
      <w:r>
        <w:rPr>
          <w:rFonts w:hint="eastAsia" w:ascii="楷体_GB2312" w:eastAsia="楷体_GB2312"/>
          <w:sz w:val="32"/>
          <w:szCs w:val="32"/>
        </w:rPr>
        <w:t>编办、人社厅、科技厅）</w:t>
      </w:r>
    </w:p>
    <w:p>
      <w:pPr>
        <w:pStyle w:val="20"/>
        <w:widowControl/>
        <w:numPr>
          <w:ilvl w:val="1"/>
          <w:numId w:val="5"/>
        </w:numPr>
        <w:spacing w:line="360" w:lineRule="auto"/>
        <w:ind w:firstLineChars="0"/>
        <w:rPr>
          <w:rFonts w:ascii="楷体_GB2312" w:eastAsia="楷体_GB2312"/>
          <w:sz w:val="32"/>
          <w:szCs w:val="32"/>
        </w:rPr>
      </w:pPr>
      <w:r>
        <w:rPr>
          <w:rFonts w:hint="eastAsia" w:ascii="楷体_GB2312" w:eastAsia="楷体_GB2312"/>
          <w:sz w:val="32"/>
          <w:szCs w:val="32"/>
        </w:rPr>
        <w:t>实行科研机构分类评估制度。</w:t>
      </w:r>
      <w:r>
        <w:rPr>
          <w:rFonts w:hint="eastAsia" w:ascii="仿宋_GB2312" w:eastAsia="仿宋_GB2312"/>
          <w:sz w:val="32"/>
          <w:szCs w:val="32"/>
        </w:rPr>
        <w:t>根据科研事业单位职责定位，将自治区级科研事业单位分为基础研究、公益性研究和应用技术研发三类，</w:t>
      </w:r>
      <w:r>
        <w:rPr>
          <w:rFonts w:ascii="仿宋_GB2312" w:eastAsia="仿宋_GB2312"/>
          <w:sz w:val="32"/>
          <w:szCs w:val="32"/>
        </w:rPr>
        <w:t>实行分类评估</w:t>
      </w:r>
      <w:r>
        <w:rPr>
          <w:rFonts w:hint="eastAsia" w:ascii="仿宋_GB2312" w:eastAsia="仿宋_GB2312"/>
          <w:sz w:val="32"/>
          <w:szCs w:val="32"/>
        </w:rPr>
        <w:t>。基础研究类突出前沿探索、研究质量、高水平知识创新和运用等；公益性研究类突出公共目标实现、社会责任履行和共性技术普及等；应用技术研发类突出新技术成果开发、应用转化、技术支持与服务以及经济社会影响等。</w:t>
      </w:r>
      <w:r>
        <w:rPr>
          <w:rFonts w:hint="eastAsia" w:ascii="楷体_GB2312" w:eastAsia="楷体_GB2312"/>
          <w:sz w:val="32"/>
          <w:szCs w:val="32"/>
        </w:rPr>
        <w:t>(责任单位：自治区科技厅、财政厅、人社厅)</w:t>
      </w:r>
    </w:p>
    <w:p>
      <w:pPr>
        <w:pStyle w:val="20"/>
        <w:widowControl/>
        <w:numPr>
          <w:ilvl w:val="1"/>
          <w:numId w:val="5"/>
        </w:numPr>
        <w:spacing w:line="360" w:lineRule="auto"/>
        <w:ind w:firstLineChars="0"/>
        <w:rPr>
          <w:rFonts w:ascii="楷体_GB2312" w:eastAsia="楷体_GB2312"/>
          <w:sz w:val="32"/>
          <w:szCs w:val="32"/>
        </w:rPr>
      </w:pPr>
      <w:r>
        <w:rPr>
          <w:rFonts w:hint="eastAsia" w:ascii="楷体_GB2312" w:eastAsia="楷体_GB2312"/>
          <w:sz w:val="32"/>
          <w:szCs w:val="32"/>
        </w:rPr>
        <w:t>建立中长期绩效评价制度。</w:t>
      </w:r>
      <w:r>
        <w:rPr>
          <w:rFonts w:hint="eastAsia" w:ascii="仿宋_GB2312" w:eastAsia="仿宋_GB2312"/>
          <w:sz w:val="32"/>
          <w:szCs w:val="32"/>
        </w:rPr>
        <w:t>落实《自治区级科研事业单位绩效评价暂行办法》，建立综合评价与年度抽查评价相结合的自治区级科研事业单位绩效评价长效机制。以5年为评价周期，对科研事业单位开展综合评价，涵盖职责定位、科技产出、创新效益等方面。5年期间，每年按一定比例，聚焦年度绩效完成情况等重点方面，开展年度抽查评价。绩效目标应包含：科技创新成果与水平、人才团队与平台建设、科技成果转化推广及科学普及、科技服务、组织与管理创新等内容。加强绩效评价结果与科研管理机制的衔接，在科研事业单位领导人员调整、任期目标考核、学科方向调整、条件平台建设、绩效激励等方面，强化评价结果的应用。</w:t>
      </w:r>
      <w:r>
        <w:rPr>
          <w:rFonts w:hint="eastAsia" w:ascii="仿宋_GB2312" w:hAnsi="仿宋" w:eastAsia="仿宋_GB2312" w:cs="仿宋"/>
          <w:sz w:val="32"/>
          <w:szCs w:val="32"/>
        </w:rPr>
        <w:t>在科技创新政策规划制定、科研任务安排部署、财政拨款、科研事业单位人事管理、绩效工资总量核定等工作中，将绩效评价结果作为重要依据。按照程序办理科研事业单位编制调整事项时，参考评价结果。</w:t>
      </w:r>
      <w:r>
        <w:rPr>
          <w:rFonts w:hint="eastAsia" w:ascii="楷体_GB2312" w:eastAsia="楷体_GB2312"/>
          <w:sz w:val="32"/>
          <w:szCs w:val="32"/>
        </w:rPr>
        <w:t>(责任单位：自治区科技厅、财政厅、人社厅)</w:t>
      </w:r>
    </w:p>
    <w:p>
      <w:pPr>
        <w:pStyle w:val="20"/>
        <w:widowControl/>
        <w:numPr>
          <w:ilvl w:val="1"/>
          <w:numId w:val="5"/>
        </w:numPr>
        <w:spacing w:line="360" w:lineRule="auto"/>
        <w:ind w:firstLineChars="0"/>
        <w:rPr>
          <w:rFonts w:ascii="楷体_GB2312" w:eastAsia="楷体_GB2312"/>
          <w:sz w:val="32"/>
          <w:szCs w:val="32"/>
        </w:rPr>
      </w:pPr>
      <w:r>
        <w:rPr>
          <w:rFonts w:hint="eastAsia" w:ascii="楷体_GB2312" w:hAnsi="仿宋" w:eastAsia="楷体_GB2312" w:cs="宋体"/>
          <w:kern w:val="0"/>
          <w:sz w:val="32"/>
          <w:szCs w:val="32"/>
        </w:rPr>
        <w:t>完善科技创新基地平台评价考核体系。</w:t>
      </w:r>
      <w:r>
        <w:rPr>
          <w:rFonts w:hint="eastAsia" w:ascii="仿宋_GB2312" w:hAnsi="仿宋" w:eastAsia="仿宋_GB2312" w:cs="宋体"/>
          <w:kern w:val="0"/>
          <w:sz w:val="32"/>
          <w:szCs w:val="32"/>
        </w:rPr>
        <w:t>参照国家科技创新基地体系，对自治区重点</w:t>
      </w:r>
      <w:r>
        <w:rPr>
          <w:rFonts w:ascii="仿宋_GB2312" w:hAnsi="仿宋" w:eastAsia="仿宋_GB2312" w:cs="宋体"/>
          <w:kern w:val="0"/>
          <w:sz w:val="32"/>
          <w:szCs w:val="32"/>
        </w:rPr>
        <w:t>实验室、工程（</w:t>
      </w:r>
      <w:r>
        <w:rPr>
          <w:rFonts w:hint="eastAsia" w:ascii="仿宋_GB2312" w:hAnsi="仿宋" w:eastAsia="仿宋_GB2312" w:cs="宋体"/>
          <w:kern w:val="0"/>
          <w:sz w:val="32"/>
          <w:szCs w:val="32"/>
        </w:rPr>
        <w:t>技术</w:t>
      </w:r>
      <w:r>
        <w:rPr>
          <w:rFonts w:ascii="仿宋_GB2312" w:hAnsi="仿宋" w:eastAsia="仿宋_GB2312" w:cs="宋体"/>
          <w:kern w:val="0"/>
          <w:sz w:val="32"/>
          <w:szCs w:val="32"/>
        </w:rPr>
        <w:t>）</w:t>
      </w:r>
      <w:r>
        <w:rPr>
          <w:rFonts w:hint="eastAsia" w:ascii="仿宋_GB2312" w:hAnsi="仿宋" w:eastAsia="仿宋_GB2312" w:cs="宋体"/>
          <w:kern w:val="0"/>
          <w:sz w:val="32"/>
          <w:szCs w:val="32"/>
        </w:rPr>
        <w:t>研究</w:t>
      </w:r>
      <w:r>
        <w:rPr>
          <w:rFonts w:ascii="仿宋_GB2312" w:hAnsi="仿宋" w:eastAsia="仿宋_GB2312" w:cs="宋体"/>
          <w:kern w:val="0"/>
          <w:sz w:val="32"/>
          <w:szCs w:val="32"/>
        </w:rPr>
        <w:t>中心、临床医学研究中心</w:t>
      </w:r>
      <w:r>
        <w:rPr>
          <w:rFonts w:hint="eastAsia" w:ascii="仿宋_GB2312" w:hAnsi="仿宋" w:eastAsia="仿宋_GB2312" w:cs="宋体"/>
          <w:kern w:val="0"/>
          <w:sz w:val="32"/>
          <w:szCs w:val="32"/>
        </w:rPr>
        <w:t>、</w:t>
      </w:r>
      <w:r>
        <w:rPr>
          <w:rFonts w:ascii="仿宋_GB2312" w:hAnsi="仿宋" w:eastAsia="仿宋_GB2312" w:cs="宋体"/>
          <w:kern w:val="0"/>
          <w:sz w:val="32"/>
          <w:szCs w:val="32"/>
        </w:rPr>
        <w:t>哲学社科</w:t>
      </w:r>
      <w:r>
        <w:rPr>
          <w:rFonts w:hint="eastAsia" w:ascii="仿宋_GB2312" w:hAnsi="仿宋" w:eastAsia="仿宋_GB2312" w:cs="宋体"/>
          <w:kern w:val="0"/>
          <w:sz w:val="32"/>
          <w:szCs w:val="32"/>
        </w:rPr>
        <w:t>研究</w:t>
      </w:r>
      <w:r>
        <w:rPr>
          <w:rFonts w:ascii="仿宋_GB2312" w:hAnsi="仿宋" w:eastAsia="仿宋_GB2312" w:cs="宋体"/>
          <w:kern w:val="0"/>
          <w:sz w:val="32"/>
          <w:szCs w:val="32"/>
        </w:rPr>
        <w:t>基地等</w:t>
      </w:r>
      <w:r>
        <w:rPr>
          <w:rFonts w:hint="eastAsia" w:ascii="仿宋_GB2312" w:hAnsi="仿宋" w:eastAsia="仿宋_GB2312" w:cs="宋体"/>
          <w:kern w:val="0"/>
          <w:sz w:val="32"/>
          <w:szCs w:val="32"/>
        </w:rPr>
        <w:t>现有各类科技创新基地平台进行整合和优化，依据科技创新基地平台的功能定位、任务目标、运行机制等不同</w:t>
      </w:r>
      <w:r>
        <w:rPr>
          <w:rFonts w:ascii="仿宋_GB2312" w:hAnsi="仿宋" w:eastAsia="仿宋_GB2312" w:cs="宋体"/>
          <w:kern w:val="0"/>
          <w:sz w:val="32"/>
          <w:szCs w:val="32"/>
        </w:rPr>
        <w:t>特点</w:t>
      </w:r>
      <w:r>
        <w:rPr>
          <w:rFonts w:hint="eastAsia" w:ascii="仿宋_GB2312" w:hAnsi="仿宋" w:eastAsia="仿宋_GB2312" w:cs="宋体"/>
          <w:kern w:val="0"/>
          <w:sz w:val="32"/>
          <w:szCs w:val="32"/>
        </w:rPr>
        <w:t>，确定合理、科学的评价方式、标准和程序。建立和完善自治区级科技创新基地平台的年度报告制度、定期评价考核制度和与评价结果挂钩的动态管理机制，坚持优胜劣汰，实现科技创新基地平台建设运行良性循环。</w:t>
      </w:r>
      <w:r>
        <w:rPr>
          <w:rFonts w:hint="eastAsia" w:ascii="楷体_GB2312" w:eastAsia="楷体_GB2312"/>
          <w:sz w:val="32"/>
          <w:szCs w:val="32"/>
        </w:rPr>
        <w:t>（责任单位：自治区科技厅、发改委、经信委、教育厅）</w:t>
      </w:r>
    </w:p>
    <w:p>
      <w:pPr>
        <w:pStyle w:val="20"/>
        <w:numPr>
          <w:ilvl w:val="0"/>
          <w:numId w:val="1"/>
        </w:numPr>
        <w:ind w:firstLineChars="0"/>
        <w:rPr>
          <w:rFonts w:ascii="黑体" w:hAnsi="黑体" w:eastAsia="黑体" w:cs="宋体"/>
          <w:bCs/>
          <w:kern w:val="0"/>
          <w:sz w:val="32"/>
          <w:szCs w:val="32"/>
        </w:rPr>
      </w:pPr>
      <w:r>
        <w:rPr>
          <w:rFonts w:hint="eastAsia" w:ascii="黑体" w:hAnsi="黑体" w:eastAsia="黑体" w:cs="宋体"/>
          <w:bCs/>
          <w:kern w:val="0"/>
          <w:sz w:val="32"/>
          <w:szCs w:val="32"/>
        </w:rPr>
        <w:t>加强监督评估和科研诚信体系建设</w:t>
      </w:r>
    </w:p>
    <w:p>
      <w:pPr>
        <w:pStyle w:val="7"/>
        <w:numPr>
          <w:ilvl w:val="0"/>
          <w:numId w:val="6"/>
        </w:numPr>
        <w:spacing w:line="480" w:lineRule="auto"/>
        <w:jc w:val="both"/>
        <w:rPr>
          <w:rFonts w:ascii="楷体_GB2312" w:hAnsi="Calibri" w:eastAsia="楷体_GB2312" w:cs="Times New Roman"/>
          <w:kern w:val="2"/>
          <w:sz w:val="32"/>
          <w:szCs w:val="32"/>
        </w:rPr>
      </w:pPr>
      <w:r>
        <w:rPr>
          <w:rFonts w:hint="eastAsia" w:ascii="楷体_GB2312" w:hAnsi="微软雅黑" w:eastAsia="楷体_GB2312"/>
          <w:sz w:val="32"/>
          <w:szCs w:val="32"/>
        </w:rPr>
        <w:t>建立覆盖“三评”全过程的监督评估机制。</w:t>
      </w:r>
      <w:r>
        <w:rPr>
          <w:rFonts w:hint="eastAsia" w:ascii="仿宋_GB2312" w:hAnsi="微软雅黑" w:eastAsia="仿宋_GB2312"/>
          <w:sz w:val="32"/>
          <w:szCs w:val="32"/>
        </w:rPr>
        <w:t>制定“三评”监督评估实施细则，建立监督评估指标体系，</w:t>
      </w:r>
      <w:r>
        <w:rPr>
          <w:rFonts w:ascii="仿宋_GB2312" w:hAnsi="微软雅黑" w:eastAsia="仿宋_GB2312"/>
          <w:sz w:val="32"/>
          <w:szCs w:val="32"/>
        </w:rPr>
        <w:t>将监督和评估嵌入“三评”活动事前、事中、事后全过程</w:t>
      </w:r>
      <w:r>
        <w:rPr>
          <w:rFonts w:hint="eastAsia" w:ascii="仿宋_GB2312" w:hAnsi="微软雅黑" w:eastAsia="仿宋_GB2312"/>
          <w:sz w:val="32"/>
          <w:szCs w:val="32"/>
        </w:rPr>
        <w:t>。</w:t>
      </w:r>
      <w:r>
        <w:rPr>
          <w:rFonts w:ascii="仿宋_GB2312" w:hAnsi="微软雅黑" w:eastAsia="仿宋_GB2312"/>
          <w:sz w:val="32"/>
          <w:szCs w:val="32"/>
        </w:rPr>
        <w:t>事前，实行诚信承诺制度，申报人员、评审专家、工作人员均应签订诚信承诺书，明确行为规范并划定负面行为的底线。事中，实行重点监督和随机抽查相结合，强化重点环节监督，加强对各类主体履职尽责和任务完成情况的监督评估。事后，强化绩效评估和动态调整，按照合同（委托书、协议书）约定开展绩效评估，评估结果作为对相关主体今后监督管理和动态调整的重要参考。</w:t>
      </w:r>
      <w:r>
        <w:rPr>
          <w:rFonts w:hint="eastAsia" w:ascii="仿宋_GB2312" w:hAnsi="微软雅黑" w:eastAsia="仿宋_GB2312"/>
          <w:sz w:val="32"/>
          <w:szCs w:val="32"/>
        </w:rPr>
        <w:t>发挥各领域专业特长优势，建立健全厅际联合监督评估机制。</w:t>
      </w:r>
      <w:r>
        <w:rPr>
          <w:rFonts w:ascii="仿宋_GB2312" w:hAnsi="微软雅黑" w:eastAsia="仿宋_GB2312"/>
          <w:sz w:val="32"/>
          <w:szCs w:val="32"/>
        </w:rPr>
        <w:t>加强与纪检监察机关等的信息沟通，自觉接受监督。</w:t>
      </w:r>
      <w:r>
        <w:rPr>
          <w:rFonts w:hint="eastAsia" w:ascii="楷体_GB2312" w:hAnsi="Calibri" w:eastAsia="楷体_GB2312" w:cs="Times New Roman"/>
          <w:kern w:val="2"/>
          <w:sz w:val="32"/>
          <w:szCs w:val="32"/>
        </w:rPr>
        <w:t>（责任单位：自治区科技厅、财政厅、人社厅</w:t>
      </w:r>
      <w:r>
        <w:rPr>
          <w:rFonts w:ascii="楷体_GB2312" w:hAnsi="Calibri" w:eastAsia="楷体_GB2312" w:cs="Times New Roman"/>
          <w:kern w:val="2"/>
          <w:sz w:val="32"/>
          <w:szCs w:val="32"/>
        </w:rPr>
        <w:t>、</w:t>
      </w:r>
      <w:r>
        <w:rPr>
          <w:rFonts w:hint="eastAsia" w:ascii="楷体_GB2312" w:hAnsi="Calibri" w:eastAsia="楷体_GB2312" w:cs="Times New Roman"/>
          <w:kern w:val="2"/>
          <w:sz w:val="32"/>
          <w:szCs w:val="32"/>
        </w:rPr>
        <w:t>各</w:t>
      </w:r>
      <w:r>
        <w:rPr>
          <w:rFonts w:ascii="楷体_GB2312" w:hAnsi="Calibri" w:eastAsia="楷体_GB2312" w:cs="Times New Roman"/>
          <w:kern w:val="2"/>
          <w:sz w:val="32"/>
          <w:szCs w:val="32"/>
        </w:rPr>
        <w:t>相关部门</w:t>
      </w:r>
      <w:r>
        <w:rPr>
          <w:rFonts w:hint="eastAsia" w:ascii="楷体_GB2312" w:hAnsi="Calibri" w:eastAsia="楷体_GB2312" w:cs="Times New Roman"/>
          <w:kern w:val="2"/>
          <w:sz w:val="32"/>
          <w:szCs w:val="32"/>
        </w:rPr>
        <w:t>）</w:t>
      </w:r>
    </w:p>
    <w:p>
      <w:pPr>
        <w:pStyle w:val="7"/>
        <w:numPr>
          <w:ilvl w:val="0"/>
          <w:numId w:val="6"/>
        </w:numPr>
        <w:spacing w:line="480" w:lineRule="auto"/>
        <w:jc w:val="both"/>
        <w:rPr>
          <w:rFonts w:ascii="楷体_GB2312" w:hAnsi="Calibri" w:eastAsia="楷体_GB2312" w:cs="Times New Roman"/>
          <w:kern w:val="2"/>
          <w:sz w:val="32"/>
          <w:szCs w:val="32"/>
        </w:rPr>
      </w:pPr>
      <w:r>
        <w:rPr>
          <w:rFonts w:hint="eastAsia" w:ascii="楷体_GB2312" w:hAnsi="微软雅黑" w:eastAsia="楷体_GB2312"/>
          <w:sz w:val="32"/>
          <w:szCs w:val="32"/>
        </w:rPr>
        <w:t>加强科研诚信建设。</w:t>
      </w:r>
      <w:r>
        <w:rPr>
          <w:rFonts w:hint="eastAsia" w:ascii="仿宋_GB2312" w:hAnsi="微软雅黑" w:eastAsia="仿宋_GB2312"/>
          <w:sz w:val="32"/>
          <w:szCs w:val="32"/>
        </w:rPr>
        <w:t>对科研不端行为零容忍，建立健全“三评”诚信评价管理制度，完善调查核实、公开公示、惩戒处理等制度。推进科研项目评审、人才评价、机构评估诚信信息与其他社会领域诚信信息共享，实施联合惩戒。对严重失信行为责任主体实行“一票否决”，一定期限、一定范围内禁止其获得政府奖励和申报政府科技项目，取消专家评审资格、参与科研管理等。</w:t>
      </w:r>
      <w:r>
        <w:rPr>
          <w:rFonts w:ascii="仿宋_GB2312" w:hAnsi="微软雅黑" w:eastAsia="仿宋_GB2312"/>
          <w:sz w:val="32"/>
          <w:szCs w:val="32"/>
        </w:rPr>
        <w:t>逐步建立科研领域守信激励机制。推动高校、科研院所、医院等单位建立完善学术管理制度，对科研人员学术成长轨迹和学术水平进行跟踪评价，加强对科研人员和青年学生的科研诚信教育。强化导师对学生发表论文的主要内容和研究数据的真实性及实验的可重复性等的审核把关。引导学术共同体建立符合本领域特点的科研诚信规范。</w:t>
      </w:r>
      <w:r>
        <w:rPr>
          <w:rFonts w:hint="eastAsia" w:ascii="楷体_GB2312" w:hAnsi="Calibri" w:eastAsia="楷体_GB2312" w:cs="Times New Roman"/>
          <w:kern w:val="2"/>
          <w:sz w:val="32"/>
          <w:szCs w:val="32"/>
        </w:rPr>
        <w:t>（责任单位：自治区科技厅、各</w:t>
      </w:r>
      <w:r>
        <w:rPr>
          <w:rFonts w:ascii="楷体_GB2312" w:hAnsi="Calibri" w:eastAsia="楷体_GB2312" w:cs="Times New Roman"/>
          <w:kern w:val="2"/>
          <w:sz w:val="32"/>
          <w:szCs w:val="32"/>
        </w:rPr>
        <w:t>相关部门</w:t>
      </w:r>
      <w:r>
        <w:rPr>
          <w:rFonts w:hint="eastAsia" w:ascii="楷体_GB2312" w:hAnsi="Calibri" w:eastAsia="楷体_GB2312" w:cs="Times New Roman"/>
          <w:kern w:val="2"/>
          <w:sz w:val="32"/>
          <w:szCs w:val="32"/>
        </w:rPr>
        <w:t>）</w:t>
      </w:r>
    </w:p>
    <w:p>
      <w:pPr>
        <w:widowControl/>
        <w:ind w:firstLine="640" w:firstLineChars="200"/>
        <w:rPr>
          <w:rFonts w:ascii="仿宋" w:hAnsi="仿宋" w:eastAsia="仿宋" w:cs="宋体"/>
          <w:kern w:val="0"/>
          <w:sz w:val="32"/>
          <w:szCs w:val="32"/>
        </w:rPr>
      </w:pPr>
      <w:r>
        <w:rPr>
          <w:rFonts w:hint="eastAsia" w:ascii="黑体" w:hAnsi="黑体" w:eastAsia="黑体" w:cs="宋体"/>
          <w:bCs/>
          <w:kern w:val="0"/>
          <w:sz w:val="32"/>
          <w:szCs w:val="32"/>
        </w:rPr>
        <w:t>六、强化组织实施</w:t>
      </w:r>
      <w:bookmarkStart w:id="0" w:name="_Toc27373"/>
    </w:p>
    <w:p>
      <w:pPr>
        <w:pStyle w:val="20"/>
        <w:widowControl/>
        <w:numPr>
          <w:ilvl w:val="0"/>
          <w:numId w:val="7"/>
        </w:numPr>
        <w:ind w:firstLineChars="0"/>
        <w:rPr>
          <w:rFonts w:ascii="仿宋_GB2312" w:hAnsi="仿宋" w:eastAsia="仿宋_GB2312" w:cs="宋体"/>
          <w:kern w:val="0"/>
          <w:sz w:val="32"/>
          <w:szCs w:val="32"/>
        </w:rPr>
      </w:pPr>
      <w:r>
        <w:rPr>
          <w:rFonts w:hint="eastAsia" w:ascii="楷体_GB2312" w:hAnsi="仿宋" w:eastAsia="楷体_GB2312" w:cs="仿宋"/>
          <w:kern w:val="0"/>
          <w:sz w:val="32"/>
          <w:szCs w:val="32"/>
        </w:rPr>
        <w:t>加强统筹协调。</w:t>
      </w:r>
      <w:r>
        <w:rPr>
          <w:rFonts w:hint="eastAsia" w:ascii="仿宋_GB2312" w:hAnsi="仿宋" w:eastAsia="仿宋_GB2312" w:cs="仿宋"/>
          <w:sz w:val="32"/>
          <w:szCs w:val="32"/>
        </w:rPr>
        <w:t>自治区</w:t>
      </w:r>
      <w:r>
        <w:rPr>
          <w:rFonts w:ascii="仿宋_GB2312" w:hAnsi="仿宋" w:eastAsia="仿宋_GB2312" w:cs="仿宋"/>
          <w:sz w:val="32"/>
          <w:szCs w:val="32"/>
        </w:rPr>
        <w:t>创新驱动发展战略领导小组</w:t>
      </w:r>
      <w:r>
        <w:rPr>
          <w:rFonts w:hint="eastAsia" w:ascii="仿宋_GB2312" w:hAnsi="仿宋" w:eastAsia="仿宋_GB2312" w:cs="仿宋"/>
          <w:sz w:val="32"/>
          <w:szCs w:val="32"/>
        </w:rPr>
        <w:t>要发挥组织协调作用，督促相关部门推进</w:t>
      </w:r>
      <w:r>
        <w:rPr>
          <w:rFonts w:ascii="仿宋_GB2312" w:hAnsi="仿宋" w:eastAsia="仿宋_GB2312" w:cs="仿宋"/>
          <w:sz w:val="32"/>
          <w:szCs w:val="32"/>
        </w:rPr>
        <w:t>工作</w:t>
      </w:r>
      <w:r>
        <w:rPr>
          <w:rFonts w:hint="eastAsia" w:ascii="仿宋_GB2312" w:hAnsi="仿宋" w:eastAsia="仿宋_GB2312" w:cs="仿宋"/>
          <w:sz w:val="32"/>
          <w:szCs w:val="32"/>
        </w:rPr>
        <w:t>，加强科研单位、学术共同体、第三方评估机构等各类评价主体间的相互配合和协同联动，强化“三评”之间的统筹协调。各责任单位要高度重视，细化任务举措和</w:t>
      </w:r>
      <w:r>
        <w:rPr>
          <w:rFonts w:ascii="仿宋_GB2312" w:hAnsi="仿宋" w:eastAsia="仿宋_GB2312" w:cs="仿宋"/>
          <w:sz w:val="32"/>
          <w:szCs w:val="32"/>
        </w:rPr>
        <w:t>进度安排，</w:t>
      </w:r>
      <w:r>
        <w:rPr>
          <w:rFonts w:hint="eastAsia" w:ascii="仿宋_GB2312" w:hAnsi="仿宋" w:eastAsia="仿宋_GB2312" w:cs="仿宋"/>
          <w:sz w:val="32"/>
          <w:szCs w:val="32"/>
        </w:rPr>
        <w:t>抓好本领域“三评”改革的组织实施，同时深化“放管服”改革，进一步优化服务。</w:t>
      </w:r>
      <w:bookmarkEnd w:id="0"/>
    </w:p>
    <w:p>
      <w:pPr>
        <w:pStyle w:val="20"/>
        <w:widowControl/>
        <w:numPr>
          <w:ilvl w:val="0"/>
          <w:numId w:val="7"/>
        </w:numPr>
        <w:ind w:firstLineChars="0"/>
        <w:rPr>
          <w:rFonts w:ascii="仿宋_GB2312" w:hAnsi="仿宋" w:eastAsia="仿宋_GB2312" w:cs="宋体"/>
          <w:kern w:val="0"/>
          <w:sz w:val="32"/>
          <w:szCs w:val="32"/>
        </w:rPr>
      </w:pPr>
      <w:r>
        <w:rPr>
          <w:rFonts w:hint="eastAsia" w:ascii="楷体_GB2312" w:hAnsi="仿宋" w:eastAsia="楷体_GB2312" w:cs="仿宋"/>
          <w:bCs/>
          <w:sz w:val="32"/>
          <w:szCs w:val="32"/>
        </w:rPr>
        <w:t>强化责任担当。</w:t>
      </w:r>
      <w:r>
        <w:rPr>
          <w:rFonts w:hint="eastAsia" w:ascii="仿宋_GB2312" w:hAnsi="仿宋" w:eastAsia="仿宋_GB2312" w:cs="仿宋"/>
          <w:sz w:val="32"/>
          <w:szCs w:val="32"/>
        </w:rPr>
        <w:t>相关评价主体要强化责任意识，敢于担当，切实推进“三评”改革政策措施落实落地。项目管理机构要切实履行监督管理职能，科研机构要完善内部管理，广大科研人员要强化学术自律。</w:t>
      </w:r>
    </w:p>
    <w:p>
      <w:pPr>
        <w:pStyle w:val="20"/>
        <w:widowControl/>
        <w:numPr>
          <w:ilvl w:val="0"/>
          <w:numId w:val="7"/>
        </w:numPr>
        <w:ind w:firstLineChars="0"/>
        <w:rPr>
          <w:rFonts w:ascii="仿宋_GB2312" w:hAnsi="仿宋" w:eastAsia="仿宋_GB2312" w:cs="宋体"/>
          <w:kern w:val="0"/>
          <w:sz w:val="32"/>
          <w:szCs w:val="32"/>
        </w:rPr>
      </w:pPr>
      <w:r>
        <w:rPr>
          <w:rFonts w:hint="eastAsia" w:ascii="楷体_GB2312" w:hAnsi="仿宋" w:eastAsia="楷体_GB2312" w:cs="仿宋"/>
          <w:bCs/>
          <w:sz w:val="32"/>
          <w:szCs w:val="32"/>
        </w:rPr>
        <w:t>做好政策宣传。</w:t>
      </w:r>
      <w:r>
        <w:rPr>
          <w:rFonts w:hint="eastAsia" w:ascii="仿宋_GB2312" w:hAnsi="仿宋" w:eastAsia="仿宋_GB2312" w:cs="仿宋"/>
          <w:sz w:val="32"/>
          <w:szCs w:val="32"/>
        </w:rPr>
        <w:t>强化政策解读和宣传引导，加强对科研单位干部教育培训，提升科研管理水平，让广大科研人员知晓、掌握、用好改革政策。持续跟踪调研，及时总结推广先进经验，发现和解决问题。</w:t>
      </w:r>
    </w:p>
    <w:sectPr>
      <w:footerReference r:id="rId3" w:type="default"/>
      <w:footerReference r:id="rId4" w:type="even"/>
      <w:pgSz w:w="11906" w:h="16838"/>
      <w:pgMar w:top="1440" w:right="1800" w:bottom="1440" w:left="1800" w:header="680"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4"/>
        <w:szCs w:val="24"/>
      </w:rPr>
    </w:pPr>
    <w:r>
      <w:rPr>
        <w:rFonts w:ascii="Times New Roman" w:hAnsi="Times New Roman"/>
        <w:sz w:val="24"/>
        <w:szCs w:val="24"/>
      </w:rPr>
      <w:t>－</w:t>
    </w:r>
    <w:sdt>
      <w:sdtPr>
        <w:rPr>
          <w:rFonts w:ascii="Times New Roman" w:hAnsi="Times New Roman"/>
          <w:sz w:val="24"/>
          <w:szCs w:val="24"/>
        </w:rPr>
        <w:id w:val="554902765"/>
        <w:docPartObj>
          <w:docPartGallery w:val="AutoText"/>
        </w:docPartObj>
      </w:sdtPr>
      <w:sdtEndPr>
        <w:rPr>
          <w:rFonts w:ascii="Times New Roman" w:hAnsi="Times New Roman"/>
          <w:sz w:val="24"/>
          <w:szCs w:val="24"/>
        </w:rPr>
      </w:sdtEndPr>
      <w:sdtContent>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15</w:t>
        </w:r>
        <w:r>
          <w:rPr>
            <w:rFonts w:ascii="Times New Roman" w:hAnsi="Times New Roman"/>
            <w:sz w:val="24"/>
            <w:szCs w:val="24"/>
          </w:rPr>
          <w:fldChar w:fldCharType="end"/>
        </w:r>
        <w:r>
          <w:rPr>
            <w:rFonts w:ascii="Times New Roman" w:hAnsi="Times New Roman"/>
            <w:sz w:val="24"/>
            <w:szCs w:val="24"/>
          </w:rPr>
          <w:t>－</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4"/>
        <w:szCs w:val="24"/>
      </w:rPr>
    </w:pPr>
    <w:r>
      <w:rPr>
        <w:rFonts w:ascii="Times New Roman" w:hAnsi="Times New Roman"/>
        <w:sz w:val="24"/>
        <w:szCs w:val="24"/>
      </w:rPr>
      <w:t>－</w:t>
    </w:r>
    <w:sdt>
      <w:sdtPr>
        <w:rPr>
          <w:rFonts w:ascii="Times New Roman" w:hAnsi="Times New Roman"/>
          <w:sz w:val="24"/>
          <w:szCs w:val="24"/>
        </w:rPr>
        <w:id w:val="-1233383785"/>
        <w:docPartObj>
          <w:docPartGallery w:val="AutoText"/>
        </w:docPartObj>
      </w:sdtPr>
      <w:sdtEndPr>
        <w:rPr>
          <w:rFonts w:ascii="Times New Roman" w:hAnsi="Times New Roman"/>
          <w:sz w:val="24"/>
          <w:szCs w:val="24"/>
        </w:rPr>
      </w:sdtEndPr>
      <w:sdtContent>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14</w:t>
        </w:r>
        <w:r>
          <w:rPr>
            <w:rFonts w:ascii="Times New Roman" w:hAnsi="Times New Roman"/>
            <w:sz w:val="24"/>
            <w:szCs w:val="24"/>
          </w:rPr>
          <w:fldChar w:fldCharType="end"/>
        </w:r>
        <w:r>
          <w:rPr>
            <w:rFonts w:ascii="Times New Roman" w:hAnsi="Times New Roman"/>
            <w:sz w:val="24"/>
            <w:szCs w:val="24"/>
          </w:rPr>
          <w:t>－</w:t>
        </w:r>
      </w:sdtContent>
    </w:sdt>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B0CC0"/>
    <w:multiLevelType w:val="multilevel"/>
    <w:tmpl w:val="204B0CC0"/>
    <w:lvl w:ilvl="0" w:tentative="0">
      <w:start w:val="1"/>
      <w:numFmt w:val="chineseCountingThousand"/>
      <w:lvlText w:val="(%1)"/>
      <w:lvlJc w:val="left"/>
      <w:pPr>
        <w:ind w:left="1060" w:hanging="420"/>
      </w:pPr>
      <w:rPr>
        <w:rFonts w:hint="eastAsia"/>
      </w:rPr>
    </w:lvl>
    <w:lvl w:ilvl="1" w:tentative="0">
      <w:start w:val="1"/>
      <w:numFmt w:val="chineseCountingThousand"/>
      <w:suff w:val="nothing"/>
      <w:lvlText w:val="(%2)"/>
      <w:lvlJc w:val="left"/>
      <w:pPr>
        <w:ind w:left="0" w:firstLine="680"/>
      </w:pPr>
      <w:rPr>
        <w:rFonts w:hint="eastAsia" w:ascii="楷体_GB2312" w:eastAsia="楷体_GB2312"/>
      </w:rPr>
    </w:lvl>
    <w:lvl w:ilvl="2" w:tentative="0">
      <w:start w:val="4"/>
      <w:numFmt w:val="japaneseCounting"/>
      <w:lvlText w:val="%3、"/>
      <w:lvlJc w:val="left"/>
      <w:pPr>
        <w:ind w:left="2200" w:hanging="720"/>
      </w:pPr>
      <w:rPr>
        <w:rFonts w:hint="default"/>
      </w:r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99E11C4"/>
    <w:multiLevelType w:val="multilevel"/>
    <w:tmpl w:val="399E11C4"/>
    <w:lvl w:ilvl="0" w:tentative="0">
      <w:start w:val="1"/>
      <w:numFmt w:val="chineseCountingThousand"/>
      <w:suff w:val="nothing"/>
      <w:lvlText w:val="(%1)"/>
      <w:lvlJc w:val="left"/>
      <w:pPr>
        <w:ind w:left="0" w:firstLine="680"/>
      </w:pPr>
      <w:rPr>
        <w:rFonts w:hint="eastAsia" w:ascii="楷体_GB2312" w:eastAsia="楷体_GB2312"/>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46DE6C66"/>
    <w:multiLevelType w:val="multilevel"/>
    <w:tmpl w:val="46DE6C66"/>
    <w:lvl w:ilvl="0" w:tentative="0">
      <w:start w:val="1"/>
      <w:numFmt w:val="chineseCountingThousand"/>
      <w:lvlText w:val="(%1)"/>
      <w:lvlJc w:val="left"/>
      <w:pPr>
        <w:ind w:left="1060" w:hanging="420"/>
      </w:pPr>
      <w:rPr>
        <w:rFonts w:hint="eastAsia"/>
      </w:rPr>
    </w:lvl>
    <w:lvl w:ilvl="1" w:tentative="0">
      <w:start w:val="1"/>
      <w:numFmt w:val="chineseCountingThousand"/>
      <w:suff w:val="nothing"/>
      <w:lvlText w:val="(%2)"/>
      <w:lvlJc w:val="left"/>
      <w:pPr>
        <w:ind w:left="0" w:firstLine="680"/>
      </w:pPr>
      <w:rPr>
        <w:rFonts w:hint="eastAsia" w:ascii="楷体_GB2312" w:eastAsia="楷体_GB2312"/>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9AB5C4A"/>
    <w:multiLevelType w:val="multilevel"/>
    <w:tmpl w:val="49AB5C4A"/>
    <w:lvl w:ilvl="0" w:tentative="0">
      <w:start w:val="1"/>
      <w:numFmt w:val="chineseCountingThousand"/>
      <w:suff w:val="nothing"/>
      <w:lvlText w:val="(%1)"/>
      <w:lvlJc w:val="left"/>
      <w:pPr>
        <w:ind w:left="0" w:firstLine="680"/>
      </w:pPr>
      <w:rPr>
        <w:rFonts w:hint="eastAsia" w:ascii="楷体_GB2312" w:eastAsia="楷体_GB2312"/>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5B41EB1"/>
    <w:multiLevelType w:val="multilevel"/>
    <w:tmpl w:val="55B41EB1"/>
    <w:lvl w:ilvl="0" w:tentative="0">
      <w:start w:val="1"/>
      <w:numFmt w:val="chineseCountingThousand"/>
      <w:suff w:val="nothing"/>
      <w:lvlText w:val="%1、"/>
      <w:lvlJc w:val="left"/>
      <w:pPr>
        <w:ind w:left="0" w:firstLine="68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9E17451"/>
    <w:multiLevelType w:val="multilevel"/>
    <w:tmpl w:val="79E17451"/>
    <w:lvl w:ilvl="0" w:tentative="0">
      <w:start w:val="1"/>
      <w:numFmt w:val="chineseCountingThousand"/>
      <w:suff w:val="nothing"/>
      <w:lvlText w:val="(%1)"/>
      <w:lvlJc w:val="left"/>
      <w:pPr>
        <w:ind w:left="0" w:firstLine="680"/>
      </w:pPr>
      <w:rPr>
        <w:rFonts w:hint="eastAsia" w:ascii="楷体_GB2312" w:eastAsia="楷体_GB2312"/>
      </w:rPr>
    </w:lvl>
    <w:lvl w:ilvl="1" w:tentative="0">
      <w:start w:val="1"/>
      <w:numFmt w:val="japaneseCounting"/>
      <w:lvlText w:val="（%2）"/>
      <w:lvlJc w:val="left"/>
      <w:pPr>
        <w:ind w:left="2140" w:hanging="1080"/>
      </w:pPr>
      <w:rPr>
        <w:rFonts w:hint="default" w:ascii="楷体_GB2312" w:eastAsia="楷体_GB2312"/>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7E1D7619"/>
    <w:multiLevelType w:val="multilevel"/>
    <w:tmpl w:val="7E1D7619"/>
    <w:lvl w:ilvl="0" w:tentative="0">
      <w:start w:val="1"/>
      <w:numFmt w:val="chineseCountingThousand"/>
      <w:suff w:val="nothing"/>
      <w:lvlText w:val="(%1)"/>
      <w:lvlJc w:val="left"/>
      <w:pPr>
        <w:ind w:left="0" w:firstLine="680"/>
      </w:pPr>
      <w:rPr>
        <w:rFonts w:hint="eastAsia" w:ascii="楷体_GB2312" w:eastAsia="楷体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1B"/>
    <w:rsid w:val="000020DF"/>
    <w:rsid w:val="0000266B"/>
    <w:rsid w:val="000047E5"/>
    <w:rsid w:val="00005D4E"/>
    <w:rsid w:val="00005F3C"/>
    <w:rsid w:val="00010F8B"/>
    <w:rsid w:val="00011F20"/>
    <w:rsid w:val="00014184"/>
    <w:rsid w:val="00014D67"/>
    <w:rsid w:val="000170FF"/>
    <w:rsid w:val="00020F17"/>
    <w:rsid w:val="00021FC0"/>
    <w:rsid w:val="00024DC3"/>
    <w:rsid w:val="00026C2F"/>
    <w:rsid w:val="00030FDB"/>
    <w:rsid w:val="0003482C"/>
    <w:rsid w:val="000352FC"/>
    <w:rsid w:val="00035D05"/>
    <w:rsid w:val="0004121B"/>
    <w:rsid w:val="00044027"/>
    <w:rsid w:val="0005002B"/>
    <w:rsid w:val="0005070F"/>
    <w:rsid w:val="000534BD"/>
    <w:rsid w:val="000616B6"/>
    <w:rsid w:val="00061C59"/>
    <w:rsid w:val="000626A7"/>
    <w:rsid w:val="000655D9"/>
    <w:rsid w:val="00065BA2"/>
    <w:rsid w:val="0007025B"/>
    <w:rsid w:val="000707EC"/>
    <w:rsid w:val="0007095E"/>
    <w:rsid w:val="00071016"/>
    <w:rsid w:val="00072BB9"/>
    <w:rsid w:val="000749C6"/>
    <w:rsid w:val="0007552B"/>
    <w:rsid w:val="000760DE"/>
    <w:rsid w:val="00076A85"/>
    <w:rsid w:val="00076B78"/>
    <w:rsid w:val="000817AE"/>
    <w:rsid w:val="00087004"/>
    <w:rsid w:val="000877B7"/>
    <w:rsid w:val="00093317"/>
    <w:rsid w:val="00096434"/>
    <w:rsid w:val="000A0779"/>
    <w:rsid w:val="000A21C0"/>
    <w:rsid w:val="000A2745"/>
    <w:rsid w:val="000A57AF"/>
    <w:rsid w:val="000B00F4"/>
    <w:rsid w:val="000B0E1E"/>
    <w:rsid w:val="000B3358"/>
    <w:rsid w:val="000B3876"/>
    <w:rsid w:val="000B6836"/>
    <w:rsid w:val="000B7403"/>
    <w:rsid w:val="000C10B6"/>
    <w:rsid w:val="000C1B12"/>
    <w:rsid w:val="000C1B1F"/>
    <w:rsid w:val="000C224A"/>
    <w:rsid w:val="000C2719"/>
    <w:rsid w:val="000C2AAA"/>
    <w:rsid w:val="000C3720"/>
    <w:rsid w:val="000C3C84"/>
    <w:rsid w:val="000C76B1"/>
    <w:rsid w:val="000C79C8"/>
    <w:rsid w:val="000D1B03"/>
    <w:rsid w:val="000D4751"/>
    <w:rsid w:val="000D4D09"/>
    <w:rsid w:val="000D643F"/>
    <w:rsid w:val="000D64F4"/>
    <w:rsid w:val="000D6815"/>
    <w:rsid w:val="000D78E8"/>
    <w:rsid w:val="000E0FF5"/>
    <w:rsid w:val="000E3D38"/>
    <w:rsid w:val="000E4F33"/>
    <w:rsid w:val="000F06E5"/>
    <w:rsid w:val="000F26DC"/>
    <w:rsid w:val="000F3EAD"/>
    <w:rsid w:val="000F403C"/>
    <w:rsid w:val="000F5DEE"/>
    <w:rsid w:val="000F615C"/>
    <w:rsid w:val="00100004"/>
    <w:rsid w:val="00105434"/>
    <w:rsid w:val="00105C28"/>
    <w:rsid w:val="00113E70"/>
    <w:rsid w:val="00117216"/>
    <w:rsid w:val="00117BEB"/>
    <w:rsid w:val="001202FC"/>
    <w:rsid w:val="00122DEF"/>
    <w:rsid w:val="001230D9"/>
    <w:rsid w:val="0012565B"/>
    <w:rsid w:val="00126658"/>
    <w:rsid w:val="001314A8"/>
    <w:rsid w:val="0013476F"/>
    <w:rsid w:val="00136206"/>
    <w:rsid w:val="0013701B"/>
    <w:rsid w:val="001377FC"/>
    <w:rsid w:val="001379DD"/>
    <w:rsid w:val="00137FB1"/>
    <w:rsid w:val="00140097"/>
    <w:rsid w:val="00141A96"/>
    <w:rsid w:val="00141B66"/>
    <w:rsid w:val="001446ED"/>
    <w:rsid w:val="001451ED"/>
    <w:rsid w:val="0014588B"/>
    <w:rsid w:val="00146AEF"/>
    <w:rsid w:val="00147A13"/>
    <w:rsid w:val="0015182F"/>
    <w:rsid w:val="0015232E"/>
    <w:rsid w:val="00152B8B"/>
    <w:rsid w:val="001530B8"/>
    <w:rsid w:val="0015406F"/>
    <w:rsid w:val="00154716"/>
    <w:rsid w:val="00155F51"/>
    <w:rsid w:val="0015773B"/>
    <w:rsid w:val="001602D4"/>
    <w:rsid w:val="00163962"/>
    <w:rsid w:val="001647FD"/>
    <w:rsid w:val="00164E8E"/>
    <w:rsid w:val="00166782"/>
    <w:rsid w:val="0016745C"/>
    <w:rsid w:val="00174D7B"/>
    <w:rsid w:val="001758A4"/>
    <w:rsid w:val="00176576"/>
    <w:rsid w:val="00180A9D"/>
    <w:rsid w:val="00181D2C"/>
    <w:rsid w:val="00183CF7"/>
    <w:rsid w:val="00184D0D"/>
    <w:rsid w:val="001851BF"/>
    <w:rsid w:val="00187374"/>
    <w:rsid w:val="001909DE"/>
    <w:rsid w:val="00190EF7"/>
    <w:rsid w:val="00193F5A"/>
    <w:rsid w:val="00197704"/>
    <w:rsid w:val="00197C9E"/>
    <w:rsid w:val="001A2E9D"/>
    <w:rsid w:val="001A7351"/>
    <w:rsid w:val="001A7787"/>
    <w:rsid w:val="001B585B"/>
    <w:rsid w:val="001C0C59"/>
    <w:rsid w:val="001C39CB"/>
    <w:rsid w:val="001C3B3A"/>
    <w:rsid w:val="001C5182"/>
    <w:rsid w:val="001C6CAF"/>
    <w:rsid w:val="001C7618"/>
    <w:rsid w:val="001D196B"/>
    <w:rsid w:val="001D1B09"/>
    <w:rsid w:val="001D36F6"/>
    <w:rsid w:val="001D6ED5"/>
    <w:rsid w:val="001E073F"/>
    <w:rsid w:val="001E07D2"/>
    <w:rsid w:val="001E1446"/>
    <w:rsid w:val="001E14B4"/>
    <w:rsid w:val="001E1539"/>
    <w:rsid w:val="001E1668"/>
    <w:rsid w:val="001E7DE3"/>
    <w:rsid w:val="001F013F"/>
    <w:rsid w:val="001F0A92"/>
    <w:rsid w:val="001F1E08"/>
    <w:rsid w:val="001F4A4F"/>
    <w:rsid w:val="001F5083"/>
    <w:rsid w:val="001F6343"/>
    <w:rsid w:val="001F63F0"/>
    <w:rsid w:val="001F6EBF"/>
    <w:rsid w:val="001F7AC2"/>
    <w:rsid w:val="00200B4E"/>
    <w:rsid w:val="00200DC5"/>
    <w:rsid w:val="00201D2D"/>
    <w:rsid w:val="00205ABA"/>
    <w:rsid w:val="00206439"/>
    <w:rsid w:val="00210B54"/>
    <w:rsid w:val="00210CF2"/>
    <w:rsid w:val="00211F27"/>
    <w:rsid w:val="002127B6"/>
    <w:rsid w:val="00212FB7"/>
    <w:rsid w:val="00213227"/>
    <w:rsid w:val="00213265"/>
    <w:rsid w:val="002151A1"/>
    <w:rsid w:val="0021657E"/>
    <w:rsid w:val="0021745C"/>
    <w:rsid w:val="00222B01"/>
    <w:rsid w:val="00223CD9"/>
    <w:rsid w:val="00225CE9"/>
    <w:rsid w:val="0022625A"/>
    <w:rsid w:val="00226B80"/>
    <w:rsid w:val="0023002F"/>
    <w:rsid w:val="002302D0"/>
    <w:rsid w:val="002310D6"/>
    <w:rsid w:val="002339F0"/>
    <w:rsid w:val="00233A77"/>
    <w:rsid w:val="0023422E"/>
    <w:rsid w:val="00234428"/>
    <w:rsid w:val="00240E5C"/>
    <w:rsid w:val="00242131"/>
    <w:rsid w:val="002447CD"/>
    <w:rsid w:val="00247377"/>
    <w:rsid w:val="00250942"/>
    <w:rsid w:val="00253A23"/>
    <w:rsid w:val="002540AF"/>
    <w:rsid w:val="00255C90"/>
    <w:rsid w:val="002571BA"/>
    <w:rsid w:val="0026113B"/>
    <w:rsid w:val="00263573"/>
    <w:rsid w:val="002639C8"/>
    <w:rsid w:val="00265BC5"/>
    <w:rsid w:val="00265E51"/>
    <w:rsid w:val="00266D44"/>
    <w:rsid w:val="00267B52"/>
    <w:rsid w:val="00270084"/>
    <w:rsid w:val="00270A82"/>
    <w:rsid w:val="00270ACF"/>
    <w:rsid w:val="00272D17"/>
    <w:rsid w:val="00274DA0"/>
    <w:rsid w:val="00274E64"/>
    <w:rsid w:val="002756BF"/>
    <w:rsid w:val="002810D0"/>
    <w:rsid w:val="00282225"/>
    <w:rsid w:val="00285C1A"/>
    <w:rsid w:val="002866EC"/>
    <w:rsid w:val="002873C6"/>
    <w:rsid w:val="00287C87"/>
    <w:rsid w:val="0029435C"/>
    <w:rsid w:val="002A205B"/>
    <w:rsid w:val="002A4176"/>
    <w:rsid w:val="002A5985"/>
    <w:rsid w:val="002A64EE"/>
    <w:rsid w:val="002A6D1D"/>
    <w:rsid w:val="002A7D05"/>
    <w:rsid w:val="002B2B0F"/>
    <w:rsid w:val="002B4549"/>
    <w:rsid w:val="002B622E"/>
    <w:rsid w:val="002C6FB8"/>
    <w:rsid w:val="002D1D75"/>
    <w:rsid w:val="002D2C2B"/>
    <w:rsid w:val="002D4108"/>
    <w:rsid w:val="002D5376"/>
    <w:rsid w:val="002D537C"/>
    <w:rsid w:val="002E01A4"/>
    <w:rsid w:val="002E12AC"/>
    <w:rsid w:val="002E1D69"/>
    <w:rsid w:val="002E35D8"/>
    <w:rsid w:val="002E5394"/>
    <w:rsid w:val="002E7052"/>
    <w:rsid w:val="002E70F1"/>
    <w:rsid w:val="002F2B44"/>
    <w:rsid w:val="002F3070"/>
    <w:rsid w:val="002F3209"/>
    <w:rsid w:val="002F53E7"/>
    <w:rsid w:val="00300D19"/>
    <w:rsid w:val="00301BB5"/>
    <w:rsid w:val="00302B3B"/>
    <w:rsid w:val="00303DB1"/>
    <w:rsid w:val="00305959"/>
    <w:rsid w:val="0030595C"/>
    <w:rsid w:val="00306D32"/>
    <w:rsid w:val="0030788A"/>
    <w:rsid w:val="00307F28"/>
    <w:rsid w:val="00307F32"/>
    <w:rsid w:val="00311227"/>
    <w:rsid w:val="003125DA"/>
    <w:rsid w:val="00313D6D"/>
    <w:rsid w:val="00314EA4"/>
    <w:rsid w:val="003210D6"/>
    <w:rsid w:val="00321A9C"/>
    <w:rsid w:val="003234E7"/>
    <w:rsid w:val="003245AE"/>
    <w:rsid w:val="00325924"/>
    <w:rsid w:val="00325A42"/>
    <w:rsid w:val="00326FF8"/>
    <w:rsid w:val="003301AD"/>
    <w:rsid w:val="00330F0D"/>
    <w:rsid w:val="00332F0E"/>
    <w:rsid w:val="00334686"/>
    <w:rsid w:val="0033480A"/>
    <w:rsid w:val="003351A6"/>
    <w:rsid w:val="00342C6F"/>
    <w:rsid w:val="00343C08"/>
    <w:rsid w:val="003446B3"/>
    <w:rsid w:val="0034507A"/>
    <w:rsid w:val="00346D10"/>
    <w:rsid w:val="003477EF"/>
    <w:rsid w:val="00350C9F"/>
    <w:rsid w:val="003510D5"/>
    <w:rsid w:val="00351325"/>
    <w:rsid w:val="00353966"/>
    <w:rsid w:val="00355F9F"/>
    <w:rsid w:val="00362F67"/>
    <w:rsid w:val="00366A18"/>
    <w:rsid w:val="003708A8"/>
    <w:rsid w:val="00372F2C"/>
    <w:rsid w:val="0037486C"/>
    <w:rsid w:val="0037512C"/>
    <w:rsid w:val="00375F56"/>
    <w:rsid w:val="00382CED"/>
    <w:rsid w:val="00383B05"/>
    <w:rsid w:val="00383D3B"/>
    <w:rsid w:val="00384D2B"/>
    <w:rsid w:val="00387568"/>
    <w:rsid w:val="00387C4F"/>
    <w:rsid w:val="0039033F"/>
    <w:rsid w:val="00391B41"/>
    <w:rsid w:val="00391D63"/>
    <w:rsid w:val="0039310E"/>
    <w:rsid w:val="0039488F"/>
    <w:rsid w:val="003A1756"/>
    <w:rsid w:val="003A3854"/>
    <w:rsid w:val="003A4237"/>
    <w:rsid w:val="003B19E9"/>
    <w:rsid w:val="003B41E1"/>
    <w:rsid w:val="003B4C0E"/>
    <w:rsid w:val="003B5035"/>
    <w:rsid w:val="003B6435"/>
    <w:rsid w:val="003B6734"/>
    <w:rsid w:val="003C0D60"/>
    <w:rsid w:val="003C1947"/>
    <w:rsid w:val="003C1A37"/>
    <w:rsid w:val="003C1EF7"/>
    <w:rsid w:val="003C5D21"/>
    <w:rsid w:val="003D101D"/>
    <w:rsid w:val="003D194A"/>
    <w:rsid w:val="003D558F"/>
    <w:rsid w:val="003D5A1D"/>
    <w:rsid w:val="003D6692"/>
    <w:rsid w:val="003D6F9C"/>
    <w:rsid w:val="003E0E08"/>
    <w:rsid w:val="003E25E0"/>
    <w:rsid w:val="003E53D5"/>
    <w:rsid w:val="003E5822"/>
    <w:rsid w:val="003E5C23"/>
    <w:rsid w:val="003E7C77"/>
    <w:rsid w:val="003F33F3"/>
    <w:rsid w:val="003F4A8F"/>
    <w:rsid w:val="00406DAF"/>
    <w:rsid w:val="00406DC2"/>
    <w:rsid w:val="00406F62"/>
    <w:rsid w:val="00412F55"/>
    <w:rsid w:val="004130C1"/>
    <w:rsid w:val="00414558"/>
    <w:rsid w:val="0041532D"/>
    <w:rsid w:val="0041674B"/>
    <w:rsid w:val="004168DE"/>
    <w:rsid w:val="0041721A"/>
    <w:rsid w:val="004210E1"/>
    <w:rsid w:val="00422B4A"/>
    <w:rsid w:val="00422D2F"/>
    <w:rsid w:val="0042513F"/>
    <w:rsid w:val="004266F2"/>
    <w:rsid w:val="00426DB8"/>
    <w:rsid w:val="004275EC"/>
    <w:rsid w:val="00427860"/>
    <w:rsid w:val="00427D8E"/>
    <w:rsid w:val="00433E4B"/>
    <w:rsid w:val="0043508B"/>
    <w:rsid w:val="004350CF"/>
    <w:rsid w:val="00435C5F"/>
    <w:rsid w:val="0043762A"/>
    <w:rsid w:val="00437989"/>
    <w:rsid w:val="00437AA0"/>
    <w:rsid w:val="00437D98"/>
    <w:rsid w:val="004436A3"/>
    <w:rsid w:val="00443E6A"/>
    <w:rsid w:val="00445599"/>
    <w:rsid w:val="004469CD"/>
    <w:rsid w:val="004476E5"/>
    <w:rsid w:val="004509DD"/>
    <w:rsid w:val="00452CB8"/>
    <w:rsid w:val="00453B1B"/>
    <w:rsid w:val="00453C2B"/>
    <w:rsid w:val="00454A1B"/>
    <w:rsid w:val="0046253D"/>
    <w:rsid w:val="00462AE3"/>
    <w:rsid w:val="004645E1"/>
    <w:rsid w:val="004656A9"/>
    <w:rsid w:val="00465E9C"/>
    <w:rsid w:val="00467377"/>
    <w:rsid w:val="004724A6"/>
    <w:rsid w:val="00472CFE"/>
    <w:rsid w:val="00473A76"/>
    <w:rsid w:val="00475DAA"/>
    <w:rsid w:val="0047603C"/>
    <w:rsid w:val="004769B5"/>
    <w:rsid w:val="00477A16"/>
    <w:rsid w:val="00481DCC"/>
    <w:rsid w:val="00482625"/>
    <w:rsid w:val="00483B52"/>
    <w:rsid w:val="00485C8C"/>
    <w:rsid w:val="00490D96"/>
    <w:rsid w:val="0049504E"/>
    <w:rsid w:val="004961B8"/>
    <w:rsid w:val="00496347"/>
    <w:rsid w:val="00496BFC"/>
    <w:rsid w:val="00497555"/>
    <w:rsid w:val="004A0A78"/>
    <w:rsid w:val="004A0F7C"/>
    <w:rsid w:val="004A1839"/>
    <w:rsid w:val="004A4200"/>
    <w:rsid w:val="004A446B"/>
    <w:rsid w:val="004A55D4"/>
    <w:rsid w:val="004A5B1B"/>
    <w:rsid w:val="004B0E6E"/>
    <w:rsid w:val="004B10B2"/>
    <w:rsid w:val="004B22B3"/>
    <w:rsid w:val="004B312E"/>
    <w:rsid w:val="004B3C28"/>
    <w:rsid w:val="004B3EAA"/>
    <w:rsid w:val="004B490E"/>
    <w:rsid w:val="004B6B53"/>
    <w:rsid w:val="004B7FCB"/>
    <w:rsid w:val="004C021B"/>
    <w:rsid w:val="004C0BB9"/>
    <w:rsid w:val="004C206A"/>
    <w:rsid w:val="004C531C"/>
    <w:rsid w:val="004C59FE"/>
    <w:rsid w:val="004C6781"/>
    <w:rsid w:val="004C6D73"/>
    <w:rsid w:val="004D02C6"/>
    <w:rsid w:val="004D0B61"/>
    <w:rsid w:val="004D1BB6"/>
    <w:rsid w:val="004D47B6"/>
    <w:rsid w:val="004E0C84"/>
    <w:rsid w:val="004E1D02"/>
    <w:rsid w:val="004E432C"/>
    <w:rsid w:val="004E5B38"/>
    <w:rsid w:val="004E6872"/>
    <w:rsid w:val="004F17AB"/>
    <w:rsid w:val="004F2CF4"/>
    <w:rsid w:val="004F64C4"/>
    <w:rsid w:val="004F7A06"/>
    <w:rsid w:val="004F7D5E"/>
    <w:rsid w:val="00500051"/>
    <w:rsid w:val="00502C98"/>
    <w:rsid w:val="00512EA7"/>
    <w:rsid w:val="00517621"/>
    <w:rsid w:val="00520AD1"/>
    <w:rsid w:val="005218B5"/>
    <w:rsid w:val="00524AC4"/>
    <w:rsid w:val="00526197"/>
    <w:rsid w:val="00534E18"/>
    <w:rsid w:val="0053522A"/>
    <w:rsid w:val="005354DB"/>
    <w:rsid w:val="00540145"/>
    <w:rsid w:val="00541D5C"/>
    <w:rsid w:val="0055015B"/>
    <w:rsid w:val="0055070F"/>
    <w:rsid w:val="00555CB2"/>
    <w:rsid w:val="00557375"/>
    <w:rsid w:val="005574F0"/>
    <w:rsid w:val="0055779E"/>
    <w:rsid w:val="00557C15"/>
    <w:rsid w:val="0056140C"/>
    <w:rsid w:val="00561706"/>
    <w:rsid w:val="0056351F"/>
    <w:rsid w:val="00563D99"/>
    <w:rsid w:val="00565BEE"/>
    <w:rsid w:val="00565E87"/>
    <w:rsid w:val="005660D1"/>
    <w:rsid w:val="005743C1"/>
    <w:rsid w:val="00577513"/>
    <w:rsid w:val="00582517"/>
    <w:rsid w:val="005836CC"/>
    <w:rsid w:val="00585518"/>
    <w:rsid w:val="00586A97"/>
    <w:rsid w:val="005872A1"/>
    <w:rsid w:val="0059413B"/>
    <w:rsid w:val="00595C8F"/>
    <w:rsid w:val="00595D4F"/>
    <w:rsid w:val="0059773F"/>
    <w:rsid w:val="005A08C9"/>
    <w:rsid w:val="005A42D3"/>
    <w:rsid w:val="005A68A6"/>
    <w:rsid w:val="005A6DBB"/>
    <w:rsid w:val="005A750B"/>
    <w:rsid w:val="005A7E73"/>
    <w:rsid w:val="005B1F3B"/>
    <w:rsid w:val="005B29E2"/>
    <w:rsid w:val="005B327D"/>
    <w:rsid w:val="005C0819"/>
    <w:rsid w:val="005C2E74"/>
    <w:rsid w:val="005C74DF"/>
    <w:rsid w:val="005D6EDA"/>
    <w:rsid w:val="005D72D8"/>
    <w:rsid w:val="005D744C"/>
    <w:rsid w:val="005E2936"/>
    <w:rsid w:val="005E461E"/>
    <w:rsid w:val="005E7BE8"/>
    <w:rsid w:val="005E7C94"/>
    <w:rsid w:val="005F37EC"/>
    <w:rsid w:val="005F3D28"/>
    <w:rsid w:val="005F7C67"/>
    <w:rsid w:val="00601C50"/>
    <w:rsid w:val="00601C74"/>
    <w:rsid w:val="00602960"/>
    <w:rsid w:val="006105B4"/>
    <w:rsid w:val="00611F95"/>
    <w:rsid w:val="00614A02"/>
    <w:rsid w:val="00617915"/>
    <w:rsid w:val="0061798D"/>
    <w:rsid w:val="00620620"/>
    <w:rsid w:val="006216D7"/>
    <w:rsid w:val="00625CB8"/>
    <w:rsid w:val="006305CD"/>
    <w:rsid w:val="00635B22"/>
    <w:rsid w:val="00635B9D"/>
    <w:rsid w:val="00641B64"/>
    <w:rsid w:val="00642259"/>
    <w:rsid w:val="00642572"/>
    <w:rsid w:val="006436F0"/>
    <w:rsid w:val="006457BA"/>
    <w:rsid w:val="006510E4"/>
    <w:rsid w:val="006601EF"/>
    <w:rsid w:val="00661D71"/>
    <w:rsid w:val="006644AF"/>
    <w:rsid w:val="00667BF4"/>
    <w:rsid w:val="00671858"/>
    <w:rsid w:val="006718F7"/>
    <w:rsid w:val="00671C7F"/>
    <w:rsid w:val="00674234"/>
    <w:rsid w:val="00674682"/>
    <w:rsid w:val="0067478C"/>
    <w:rsid w:val="00674B6C"/>
    <w:rsid w:val="00675071"/>
    <w:rsid w:val="00680BB0"/>
    <w:rsid w:val="00683201"/>
    <w:rsid w:val="006835FF"/>
    <w:rsid w:val="00684AEB"/>
    <w:rsid w:val="00685A5F"/>
    <w:rsid w:val="00685D3D"/>
    <w:rsid w:val="00686784"/>
    <w:rsid w:val="00694EC9"/>
    <w:rsid w:val="0069524B"/>
    <w:rsid w:val="00695366"/>
    <w:rsid w:val="0069543A"/>
    <w:rsid w:val="00695C20"/>
    <w:rsid w:val="0069608C"/>
    <w:rsid w:val="006960F4"/>
    <w:rsid w:val="0069613A"/>
    <w:rsid w:val="00696F58"/>
    <w:rsid w:val="006971D6"/>
    <w:rsid w:val="006A397B"/>
    <w:rsid w:val="006A3ECB"/>
    <w:rsid w:val="006A592F"/>
    <w:rsid w:val="006A5E50"/>
    <w:rsid w:val="006A641F"/>
    <w:rsid w:val="006A68B4"/>
    <w:rsid w:val="006B2198"/>
    <w:rsid w:val="006B33D1"/>
    <w:rsid w:val="006B5430"/>
    <w:rsid w:val="006B5D74"/>
    <w:rsid w:val="006C5126"/>
    <w:rsid w:val="006C58CC"/>
    <w:rsid w:val="006C5DE9"/>
    <w:rsid w:val="006C7310"/>
    <w:rsid w:val="006D128B"/>
    <w:rsid w:val="006D1872"/>
    <w:rsid w:val="006D20ED"/>
    <w:rsid w:val="006D4F71"/>
    <w:rsid w:val="006E4128"/>
    <w:rsid w:val="006E68E9"/>
    <w:rsid w:val="006E7661"/>
    <w:rsid w:val="006F0284"/>
    <w:rsid w:val="006F2A91"/>
    <w:rsid w:val="006F350F"/>
    <w:rsid w:val="006F4897"/>
    <w:rsid w:val="006F4941"/>
    <w:rsid w:val="006F4FD3"/>
    <w:rsid w:val="00700797"/>
    <w:rsid w:val="00701502"/>
    <w:rsid w:val="00701ABD"/>
    <w:rsid w:val="00703408"/>
    <w:rsid w:val="00705A8C"/>
    <w:rsid w:val="00706DEA"/>
    <w:rsid w:val="00706F15"/>
    <w:rsid w:val="00710030"/>
    <w:rsid w:val="00710E49"/>
    <w:rsid w:val="00713A21"/>
    <w:rsid w:val="00714012"/>
    <w:rsid w:val="00714FA3"/>
    <w:rsid w:val="007176A3"/>
    <w:rsid w:val="007176DF"/>
    <w:rsid w:val="00720711"/>
    <w:rsid w:val="007208DC"/>
    <w:rsid w:val="00722E75"/>
    <w:rsid w:val="007279EE"/>
    <w:rsid w:val="007318B6"/>
    <w:rsid w:val="0073269C"/>
    <w:rsid w:val="00733773"/>
    <w:rsid w:val="00735187"/>
    <w:rsid w:val="007422F0"/>
    <w:rsid w:val="00747B16"/>
    <w:rsid w:val="00750BD0"/>
    <w:rsid w:val="007529D3"/>
    <w:rsid w:val="00754A03"/>
    <w:rsid w:val="0075636B"/>
    <w:rsid w:val="00757458"/>
    <w:rsid w:val="00760244"/>
    <w:rsid w:val="00760974"/>
    <w:rsid w:val="00765C3D"/>
    <w:rsid w:val="007665E0"/>
    <w:rsid w:val="0076728D"/>
    <w:rsid w:val="00771B67"/>
    <w:rsid w:val="00775DA8"/>
    <w:rsid w:val="00777FE1"/>
    <w:rsid w:val="007801A8"/>
    <w:rsid w:val="0078046A"/>
    <w:rsid w:val="007862D5"/>
    <w:rsid w:val="00786CAA"/>
    <w:rsid w:val="007870B2"/>
    <w:rsid w:val="00787636"/>
    <w:rsid w:val="007906A7"/>
    <w:rsid w:val="00791F2C"/>
    <w:rsid w:val="00793A3C"/>
    <w:rsid w:val="0079733E"/>
    <w:rsid w:val="007A15EE"/>
    <w:rsid w:val="007A297F"/>
    <w:rsid w:val="007A322F"/>
    <w:rsid w:val="007A63A2"/>
    <w:rsid w:val="007A655B"/>
    <w:rsid w:val="007A6767"/>
    <w:rsid w:val="007A72E2"/>
    <w:rsid w:val="007A748E"/>
    <w:rsid w:val="007B076B"/>
    <w:rsid w:val="007B2089"/>
    <w:rsid w:val="007B2121"/>
    <w:rsid w:val="007B370D"/>
    <w:rsid w:val="007B4012"/>
    <w:rsid w:val="007B425C"/>
    <w:rsid w:val="007B4408"/>
    <w:rsid w:val="007B5740"/>
    <w:rsid w:val="007B6812"/>
    <w:rsid w:val="007B7A37"/>
    <w:rsid w:val="007C1006"/>
    <w:rsid w:val="007C3009"/>
    <w:rsid w:val="007C37AC"/>
    <w:rsid w:val="007C47AE"/>
    <w:rsid w:val="007C5DC6"/>
    <w:rsid w:val="007D048B"/>
    <w:rsid w:val="007D2138"/>
    <w:rsid w:val="007D3D64"/>
    <w:rsid w:val="007D4518"/>
    <w:rsid w:val="007D5FFF"/>
    <w:rsid w:val="007E549E"/>
    <w:rsid w:val="007F0559"/>
    <w:rsid w:val="007F06D9"/>
    <w:rsid w:val="007F0D21"/>
    <w:rsid w:val="007F2755"/>
    <w:rsid w:val="007F3759"/>
    <w:rsid w:val="007F3E1A"/>
    <w:rsid w:val="007F466F"/>
    <w:rsid w:val="007F5C28"/>
    <w:rsid w:val="007F69EB"/>
    <w:rsid w:val="007F7794"/>
    <w:rsid w:val="008017BF"/>
    <w:rsid w:val="0080519C"/>
    <w:rsid w:val="008058C0"/>
    <w:rsid w:val="00806DE9"/>
    <w:rsid w:val="0081138D"/>
    <w:rsid w:val="00811775"/>
    <w:rsid w:val="008139CF"/>
    <w:rsid w:val="00813E13"/>
    <w:rsid w:val="00814653"/>
    <w:rsid w:val="00815044"/>
    <w:rsid w:val="00815749"/>
    <w:rsid w:val="008165EF"/>
    <w:rsid w:val="00817D82"/>
    <w:rsid w:val="00821ADA"/>
    <w:rsid w:val="00822134"/>
    <w:rsid w:val="00826DD4"/>
    <w:rsid w:val="00827049"/>
    <w:rsid w:val="00827079"/>
    <w:rsid w:val="00827B59"/>
    <w:rsid w:val="00830AEE"/>
    <w:rsid w:val="00831183"/>
    <w:rsid w:val="008316C4"/>
    <w:rsid w:val="008335BE"/>
    <w:rsid w:val="00837F33"/>
    <w:rsid w:val="008406D8"/>
    <w:rsid w:val="0084151F"/>
    <w:rsid w:val="00841A97"/>
    <w:rsid w:val="00841E76"/>
    <w:rsid w:val="00843C4F"/>
    <w:rsid w:val="008459D8"/>
    <w:rsid w:val="008462C1"/>
    <w:rsid w:val="0085205B"/>
    <w:rsid w:val="00853F57"/>
    <w:rsid w:val="00854058"/>
    <w:rsid w:val="00854A9B"/>
    <w:rsid w:val="0085557F"/>
    <w:rsid w:val="00855B99"/>
    <w:rsid w:val="00860F4E"/>
    <w:rsid w:val="00862641"/>
    <w:rsid w:val="008637E4"/>
    <w:rsid w:val="00863A1D"/>
    <w:rsid w:val="008654A7"/>
    <w:rsid w:val="008671DF"/>
    <w:rsid w:val="00871AC9"/>
    <w:rsid w:val="00872F48"/>
    <w:rsid w:val="008742D6"/>
    <w:rsid w:val="0087535D"/>
    <w:rsid w:val="00875B26"/>
    <w:rsid w:val="008775FB"/>
    <w:rsid w:val="00881680"/>
    <w:rsid w:val="00883C97"/>
    <w:rsid w:val="00885FA8"/>
    <w:rsid w:val="00887321"/>
    <w:rsid w:val="00891D9E"/>
    <w:rsid w:val="00893C7A"/>
    <w:rsid w:val="0089677B"/>
    <w:rsid w:val="008A0299"/>
    <w:rsid w:val="008A2BE7"/>
    <w:rsid w:val="008A3827"/>
    <w:rsid w:val="008A3F07"/>
    <w:rsid w:val="008A57A0"/>
    <w:rsid w:val="008B1902"/>
    <w:rsid w:val="008B3710"/>
    <w:rsid w:val="008B4A62"/>
    <w:rsid w:val="008B532A"/>
    <w:rsid w:val="008B727C"/>
    <w:rsid w:val="008C1542"/>
    <w:rsid w:val="008C27D2"/>
    <w:rsid w:val="008C341D"/>
    <w:rsid w:val="008C5B7C"/>
    <w:rsid w:val="008D306C"/>
    <w:rsid w:val="008D3720"/>
    <w:rsid w:val="008D3ED0"/>
    <w:rsid w:val="008D4922"/>
    <w:rsid w:val="008D5322"/>
    <w:rsid w:val="008D576E"/>
    <w:rsid w:val="008D732E"/>
    <w:rsid w:val="008E4865"/>
    <w:rsid w:val="008E588E"/>
    <w:rsid w:val="008E7B7E"/>
    <w:rsid w:val="008F04CF"/>
    <w:rsid w:val="008F0D85"/>
    <w:rsid w:val="008F1797"/>
    <w:rsid w:val="008F361A"/>
    <w:rsid w:val="008F46C0"/>
    <w:rsid w:val="008F6050"/>
    <w:rsid w:val="009000EF"/>
    <w:rsid w:val="00900ED2"/>
    <w:rsid w:val="0090191B"/>
    <w:rsid w:val="0090469F"/>
    <w:rsid w:val="00904918"/>
    <w:rsid w:val="00905D01"/>
    <w:rsid w:val="0091166F"/>
    <w:rsid w:val="00911A22"/>
    <w:rsid w:val="00912512"/>
    <w:rsid w:val="00912AEA"/>
    <w:rsid w:val="00913DA1"/>
    <w:rsid w:val="00914168"/>
    <w:rsid w:val="00914876"/>
    <w:rsid w:val="00915BE4"/>
    <w:rsid w:val="009216C6"/>
    <w:rsid w:val="0092463A"/>
    <w:rsid w:val="00926493"/>
    <w:rsid w:val="00926F1F"/>
    <w:rsid w:val="00930A36"/>
    <w:rsid w:val="00931825"/>
    <w:rsid w:val="00933CA2"/>
    <w:rsid w:val="00934F44"/>
    <w:rsid w:val="00936EF4"/>
    <w:rsid w:val="009376B7"/>
    <w:rsid w:val="00943BF2"/>
    <w:rsid w:val="00945A47"/>
    <w:rsid w:val="00951BE6"/>
    <w:rsid w:val="00952290"/>
    <w:rsid w:val="009522CD"/>
    <w:rsid w:val="00952F81"/>
    <w:rsid w:val="00955768"/>
    <w:rsid w:val="00956E93"/>
    <w:rsid w:val="00957A3E"/>
    <w:rsid w:val="009624E5"/>
    <w:rsid w:val="0096320B"/>
    <w:rsid w:val="009638AA"/>
    <w:rsid w:val="00963E27"/>
    <w:rsid w:val="0097128F"/>
    <w:rsid w:val="00971C26"/>
    <w:rsid w:val="00976D34"/>
    <w:rsid w:val="00981332"/>
    <w:rsid w:val="00982396"/>
    <w:rsid w:val="009856F6"/>
    <w:rsid w:val="009872D5"/>
    <w:rsid w:val="0099040C"/>
    <w:rsid w:val="00991E50"/>
    <w:rsid w:val="009926DC"/>
    <w:rsid w:val="009949CC"/>
    <w:rsid w:val="00994CFC"/>
    <w:rsid w:val="00995F92"/>
    <w:rsid w:val="00996DFF"/>
    <w:rsid w:val="00997347"/>
    <w:rsid w:val="009A2E0B"/>
    <w:rsid w:val="009C2C51"/>
    <w:rsid w:val="009C4FEE"/>
    <w:rsid w:val="009C5DF7"/>
    <w:rsid w:val="009C7FFC"/>
    <w:rsid w:val="009D02E9"/>
    <w:rsid w:val="009D258B"/>
    <w:rsid w:val="009D3E87"/>
    <w:rsid w:val="009D65DB"/>
    <w:rsid w:val="009D69F8"/>
    <w:rsid w:val="009D7520"/>
    <w:rsid w:val="009E178C"/>
    <w:rsid w:val="009E6BBA"/>
    <w:rsid w:val="009E70E1"/>
    <w:rsid w:val="009E7A9E"/>
    <w:rsid w:val="009F008F"/>
    <w:rsid w:val="009F0767"/>
    <w:rsid w:val="009F72A4"/>
    <w:rsid w:val="00A032A6"/>
    <w:rsid w:val="00A03655"/>
    <w:rsid w:val="00A043B2"/>
    <w:rsid w:val="00A0694D"/>
    <w:rsid w:val="00A07268"/>
    <w:rsid w:val="00A07FFD"/>
    <w:rsid w:val="00A10603"/>
    <w:rsid w:val="00A1283C"/>
    <w:rsid w:val="00A12CF9"/>
    <w:rsid w:val="00A17834"/>
    <w:rsid w:val="00A2076D"/>
    <w:rsid w:val="00A308DE"/>
    <w:rsid w:val="00A3112D"/>
    <w:rsid w:val="00A32D3E"/>
    <w:rsid w:val="00A36053"/>
    <w:rsid w:val="00A37C7A"/>
    <w:rsid w:val="00A4121D"/>
    <w:rsid w:val="00A414D1"/>
    <w:rsid w:val="00A44696"/>
    <w:rsid w:val="00A446AF"/>
    <w:rsid w:val="00A50AF5"/>
    <w:rsid w:val="00A5297D"/>
    <w:rsid w:val="00A56AFF"/>
    <w:rsid w:val="00A60505"/>
    <w:rsid w:val="00A61A67"/>
    <w:rsid w:val="00A620B6"/>
    <w:rsid w:val="00A650A6"/>
    <w:rsid w:val="00A6622C"/>
    <w:rsid w:val="00A66AAF"/>
    <w:rsid w:val="00A726C1"/>
    <w:rsid w:val="00A80FBA"/>
    <w:rsid w:val="00A8717B"/>
    <w:rsid w:val="00A909A3"/>
    <w:rsid w:val="00A92E2F"/>
    <w:rsid w:val="00A940D9"/>
    <w:rsid w:val="00A961E9"/>
    <w:rsid w:val="00AA0ACB"/>
    <w:rsid w:val="00AB2787"/>
    <w:rsid w:val="00AB2A65"/>
    <w:rsid w:val="00AB2CD4"/>
    <w:rsid w:val="00AB3905"/>
    <w:rsid w:val="00AB69A0"/>
    <w:rsid w:val="00AB73DA"/>
    <w:rsid w:val="00AC4993"/>
    <w:rsid w:val="00AC4B51"/>
    <w:rsid w:val="00AC699A"/>
    <w:rsid w:val="00AD3CC6"/>
    <w:rsid w:val="00AD5656"/>
    <w:rsid w:val="00AD7F1C"/>
    <w:rsid w:val="00AE0041"/>
    <w:rsid w:val="00AE1023"/>
    <w:rsid w:val="00AE1A11"/>
    <w:rsid w:val="00AE1F4F"/>
    <w:rsid w:val="00AE40B8"/>
    <w:rsid w:val="00AF1F77"/>
    <w:rsid w:val="00AF6802"/>
    <w:rsid w:val="00AF6B2F"/>
    <w:rsid w:val="00AF6DC9"/>
    <w:rsid w:val="00B03005"/>
    <w:rsid w:val="00B04B1D"/>
    <w:rsid w:val="00B1378D"/>
    <w:rsid w:val="00B1657E"/>
    <w:rsid w:val="00B16640"/>
    <w:rsid w:val="00B20583"/>
    <w:rsid w:val="00B22376"/>
    <w:rsid w:val="00B224AD"/>
    <w:rsid w:val="00B23246"/>
    <w:rsid w:val="00B24D1E"/>
    <w:rsid w:val="00B265E1"/>
    <w:rsid w:val="00B30B57"/>
    <w:rsid w:val="00B30C22"/>
    <w:rsid w:val="00B34F01"/>
    <w:rsid w:val="00B36B72"/>
    <w:rsid w:val="00B41215"/>
    <w:rsid w:val="00B451D8"/>
    <w:rsid w:val="00B46BDD"/>
    <w:rsid w:val="00B51ACA"/>
    <w:rsid w:val="00B5252D"/>
    <w:rsid w:val="00B541EB"/>
    <w:rsid w:val="00B5552B"/>
    <w:rsid w:val="00B56972"/>
    <w:rsid w:val="00B56AF2"/>
    <w:rsid w:val="00B57183"/>
    <w:rsid w:val="00B6029A"/>
    <w:rsid w:val="00B60CF3"/>
    <w:rsid w:val="00B61B41"/>
    <w:rsid w:val="00B63085"/>
    <w:rsid w:val="00B64D80"/>
    <w:rsid w:val="00B67F95"/>
    <w:rsid w:val="00B76807"/>
    <w:rsid w:val="00B82A04"/>
    <w:rsid w:val="00B82CBC"/>
    <w:rsid w:val="00B85644"/>
    <w:rsid w:val="00B868A0"/>
    <w:rsid w:val="00B922E7"/>
    <w:rsid w:val="00B95A77"/>
    <w:rsid w:val="00BA289F"/>
    <w:rsid w:val="00BA42C1"/>
    <w:rsid w:val="00BB0043"/>
    <w:rsid w:val="00BB068A"/>
    <w:rsid w:val="00BB091E"/>
    <w:rsid w:val="00BB246F"/>
    <w:rsid w:val="00BB25D2"/>
    <w:rsid w:val="00BB2E18"/>
    <w:rsid w:val="00BB2E81"/>
    <w:rsid w:val="00BB582F"/>
    <w:rsid w:val="00BC2597"/>
    <w:rsid w:val="00BC50EE"/>
    <w:rsid w:val="00BD2BBD"/>
    <w:rsid w:val="00BD37FA"/>
    <w:rsid w:val="00BD5274"/>
    <w:rsid w:val="00BE5AD1"/>
    <w:rsid w:val="00BE707D"/>
    <w:rsid w:val="00BE7371"/>
    <w:rsid w:val="00BE7A63"/>
    <w:rsid w:val="00BF0463"/>
    <w:rsid w:val="00C02812"/>
    <w:rsid w:val="00C116AE"/>
    <w:rsid w:val="00C11725"/>
    <w:rsid w:val="00C124E1"/>
    <w:rsid w:val="00C128B2"/>
    <w:rsid w:val="00C1337B"/>
    <w:rsid w:val="00C13519"/>
    <w:rsid w:val="00C21E64"/>
    <w:rsid w:val="00C243F0"/>
    <w:rsid w:val="00C24838"/>
    <w:rsid w:val="00C24C2C"/>
    <w:rsid w:val="00C25F74"/>
    <w:rsid w:val="00C26013"/>
    <w:rsid w:val="00C26BC3"/>
    <w:rsid w:val="00C27757"/>
    <w:rsid w:val="00C27C62"/>
    <w:rsid w:val="00C35A02"/>
    <w:rsid w:val="00C36B73"/>
    <w:rsid w:val="00C37337"/>
    <w:rsid w:val="00C375AE"/>
    <w:rsid w:val="00C4046E"/>
    <w:rsid w:val="00C41057"/>
    <w:rsid w:val="00C41F76"/>
    <w:rsid w:val="00C43011"/>
    <w:rsid w:val="00C43EE3"/>
    <w:rsid w:val="00C4455B"/>
    <w:rsid w:val="00C450C8"/>
    <w:rsid w:val="00C46299"/>
    <w:rsid w:val="00C5211C"/>
    <w:rsid w:val="00C52398"/>
    <w:rsid w:val="00C55F14"/>
    <w:rsid w:val="00C5771A"/>
    <w:rsid w:val="00C60123"/>
    <w:rsid w:val="00C612A6"/>
    <w:rsid w:val="00C61953"/>
    <w:rsid w:val="00C636AE"/>
    <w:rsid w:val="00C64238"/>
    <w:rsid w:val="00C6488B"/>
    <w:rsid w:val="00C65AA0"/>
    <w:rsid w:val="00C6673D"/>
    <w:rsid w:val="00C67F79"/>
    <w:rsid w:val="00C71803"/>
    <w:rsid w:val="00C72E5D"/>
    <w:rsid w:val="00C733AD"/>
    <w:rsid w:val="00C73CE8"/>
    <w:rsid w:val="00C751F9"/>
    <w:rsid w:val="00C7574E"/>
    <w:rsid w:val="00C812EC"/>
    <w:rsid w:val="00C82527"/>
    <w:rsid w:val="00C82CE4"/>
    <w:rsid w:val="00C832F1"/>
    <w:rsid w:val="00C851E5"/>
    <w:rsid w:val="00C86318"/>
    <w:rsid w:val="00C871DC"/>
    <w:rsid w:val="00C94B83"/>
    <w:rsid w:val="00C96B52"/>
    <w:rsid w:val="00CA52D1"/>
    <w:rsid w:val="00CA5503"/>
    <w:rsid w:val="00CA5D21"/>
    <w:rsid w:val="00CB587B"/>
    <w:rsid w:val="00CB5F40"/>
    <w:rsid w:val="00CC10A4"/>
    <w:rsid w:val="00CC1D85"/>
    <w:rsid w:val="00CC39B3"/>
    <w:rsid w:val="00CC5E7E"/>
    <w:rsid w:val="00CD1141"/>
    <w:rsid w:val="00CD3A40"/>
    <w:rsid w:val="00CD3E79"/>
    <w:rsid w:val="00CD7972"/>
    <w:rsid w:val="00CD7FF2"/>
    <w:rsid w:val="00CE513B"/>
    <w:rsid w:val="00CE6F9A"/>
    <w:rsid w:val="00CE71DC"/>
    <w:rsid w:val="00CF0D60"/>
    <w:rsid w:val="00CF3023"/>
    <w:rsid w:val="00CF5195"/>
    <w:rsid w:val="00CF5B8E"/>
    <w:rsid w:val="00CF5BFE"/>
    <w:rsid w:val="00D01F64"/>
    <w:rsid w:val="00D04121"/>
    <w:rsid w:val="00D10A8B"/>
    <w:rsid w:val="00D13B9A"/>
    <w:rsid w:val="00D13C2D"/>
    <w:rsid w:val="00D16526"/>
    <w:rsid w:val="00D17434"/>
    <w:rsid w:val="00D20003"/>
    <w:rsid w:val="00D25266"/>
    <w:rsid w:val="00D271D4"/>
    <w:rsid w:val="00D30042"/>
    <w:rsid w:val="00D30882"/>
    <w:rsid w:val="00D32CD7"/>
    <w:rsid w:val="00D35025"/>
    <w:rsid w:val="00D418A1"/>
    <w:rsid w:val="00D47165"/>
    <w:rsid w:val="00D47BE7"/>
    <w:rsid w:val="00D53325"/>
    <w:rsid w:val="00D55E5D"/>
    <w:rsid w:val="00D55F56"/>
    <w:rsid w:val="00D56219"/>
    <w:rsid w:val="00D568AB"/>
    <w:rsid w:val="00D56BF3"/>
    <w:rsid w:val="00D60D8F"/>
    <w:rsid w:val="00D60E43"/>
    <w:rsid w:val="00D62AC8"/>
    <w:rsid w:val="00D6372A"/>
    <w:rsid w:val="00D659B2"/>
    <w:rsid w:val="00D66F28"/>
    <w:rsid w:val="00D673AD"/>
    <w:rsid w:val="00D676C5"/>
    <w:rsid w:val="00D714B8"/>
    <w:rsid w:val="00D75339"/>
    <w:rsid w:val="00D76842"/>
    <w:rsid w:val="00D77BA9"/>
    <w:rsid w:val="00D77DED"/>
    <w:rsid w:val="00D77E12"/>
    <w:rsid w:val="00D812DE"/>
    <w:rsid w:val="00D9189A"/>
    <w:rsid w:val="00D92BC4"/>
    <w:rsid w:val="00D944A9"/>
    <w:rsid w:val="00D9472F"/>
    <w:rsid w:val="00D94EBF"/>
    <w:rsid w:val="00D95C10"/>
    <w:rsid w:val="00DA0927"/>
    <w:rsid w:val="00DA0A95"/>
    <w:rsid w:val="00DA19B4"/>
    <w:rsid w:val="00DA2D8D"/>
    <w:rsid w:val="00DA3D8C"/>
    <w:rsid w:val="00DA53A5"/>
    <w:rsid w:val="00DA6A7D"/>
    <w:rsid w:val="00DB07A2"/>
    <w:rsid w:val="00DB1BEB"/>
    <w:rsid w:val="00DB1DC8"/>
    <w:rsid w:val="00DB2162"/>
    <w:rsid w:val="00DB514C"/>
    <w:rsid w:val="00DB72AC"/>
    <w:rsid w:val="00DC0EA3"/>
    <w:rsid w:val="00DC14C1"/>
    <w:rsid w:val="00DC5A3F"/>
    <w:rsid w:val="00DC7094"/>
    <w:rsid w:val="00DD0AF2"/>
    <w:rsid w:val="00DD0FF7"/>
    <w:rsid w:val="00DD10CC"/>
    <w:rsid w:val="00DD2852"/>
    <w:rsid w:val="00DD41CB"/>
    <w:rsid w:val="00DD4C93"/>
    <w:rsid w:val="00DD78B9"/>
    <w:rsid w:val="00DE34EE"/>
    <w:rsid w:val="00DE5187"/>
    <w:rsid w:val="00DE5825"/>
    <w:rsid w:val="00DE6E54"/>
    <w:rsid w:val="00DE6EBC"/>
    <w:rsid w:val="00DE7743"/>
    <w:rsid w:val="00DE7EA3"/>
    <w:rsid w:val="00DE7EDD"/>
    <w:rsid w:val="00DF184B"/>
    <w:rsid w:val="00DF202F"/>
    <w:rsid w:val="00DF42D9"/>
    <w:rsid w:val="00DF5EEB"/>
    <w:rsid w:val="00DF79D7"/>
    <w:rsid w:val="00DF7EA0"/>
    <w:rsid w:val="00E02D14"/>
    <w:rsid w:val="00E10D4A"/>
    <w:rsid w:val="00E13C61"/>
    <w:rsid w:val="00E14B22"/>
    <w:rsid w:val="00E15DC6"/>
    <w:rsid w:val="00E16E97"/>
    <w:rsid w:val="00E17265"/>
    <w:rsid w:val="00E20053"/>
    <w:rsid w:val="00E20E62"/>
    <w:rsid w:val="00E22F98"/>
    <w:rsid w:val="00E23137"/>
    <w:rsid w:val="00E247A4"/>
    <w:rsid w:val="00E258DF"/>
    <w:rsid w:val="00E26E62"/>
    <w:rsid w:val="00E30AFD"/>
    <w:rsid w:val="00E352AC"/>
    <w:rsid w:val="00E4281C"/>
    <w:rsid w:val="00E50003"/>
    <w:rsid w:val="00E50C50"/>
    <w:rsid w:val="00E51133"/>
    <w:rsid w:val="00E57CBE"/>
    <w:rsid w:val="00E60A0D"/>
    <w:rsid w:val="00E6180F"/>
    <w:rsid w:val="00E65882"/>
    <w:rsid w:val="00E663DD"/>
    <w:rsid w:val="00E67739"/>
    <w:rsid w:val="00E71C9B"/>
    <w:rsid w:val="00E7210F"/>
    <w:rsid w:val="00E73A01"/>
    <w:rsid w:val="00E7537F"/>
    <w:rsid w:val="00E80266"/>
    <w:rsid w:val="00E81EA4"/>
    <w:rsid w:val="00E86487"/>
    <w:rsid w:val="00E86BEC"/>
    <w:rsid w:val="00E94420"/>
    <w:rsid w:val="00E96FFC"/>
    <w:rsid w:val="00EA1E98"/>
    <w:rsid w:val="00EA74E6"/>
    <w:rsid w:val="00EB25C8"/>
    <w:rsid w:val="00EC33D4"/>
    <w:rsid w:val="00EC4D02"/>
    <w:rsid w:val="00EC73B0"/>
    <w:rsid w:val="00ED2438"/>
    <w:rsid w:val="00ED319E"/>
    <w:rsid w:val="00ED32AC"/>
    <w:rsid w:val="00ED3BFB"/>
    <w:rsid w:val="00ED3C6D"/>
    <w:rsid w:val="00ED4229"/>
    <w:rsid w:val="00ED4230"/>
    <w:rsid w:val="00ED4E1C"/>
    <w:rsid w:val="00ED5531"/>
    <w:rsid w:val="00ED653C"/>
    <w:rsid w:val="00ED6758"/>
    <w:rsid w:val="00ED7737"/>
    <w:rsid w:val="00EE34EB"/>
    <w:rsid w:val="00EE5958"/>
    <w:rsid w:val="00EE6065"/>
    <w:rsid w:val="00EE615B"/>
    <w:rsid w:val="00EE78FB"/>
    <w:rsid w:val="00EF2FEC"/>
    <w:rsid w:val="00EF4D8E"/>
    <w:rsid w:val="00EF6C18"/>
    <w:rsid w:val="00F02AE3"/>
    <w:rsid w:val="00F03D95"/>
    <w:rsid w:val="00F07191"/>
    <w:rsid w:val="00F1277E"/>
    <w:rsid w:val="00F12C98"/>
    <w:rsid w:val="00F13CD8"/>
    <w:rsid w:val="00F14921"/>
    <w:rsid w:val="00F209FE"/>
    <w:rsid w:val="00F23605"/>
    <w:rsid w:val="00F248B2"/>
    <w:rsid w:val="00F26DBD"/>
    <w:rsid w:val="00F32F52"/>
    <w:rsid w:val="00F35157"/>
    <w:rsid w:val="00F36F4D"/>
    <w:rsid w:val="00F4054F"/>
    <w:rsid w:val="00F426F6"/>
    <w:rsid w:val="00F42EB7"/>
    <w:rsid w:val="00F4306A"/>
    <w:rsid w:val="00F45389"/>
    <w:rsid w:val="00F454BF"/>
    <w:rsid w:val="00F47AEE"/>
    <w:rsid w:val="00F5228E"/>
    <w:rsid w:val="00F60199"/>
    <w:rsid w:val="00F61384"/>
    <w:rsid w:val="00F627B7"/>
    <w:rsid w:val="00F631F9"/>
    <w:rsid w:val="00F63857"/>
    <w:rsid w:val="00F65496"/>
    <w:rsid w:val="00F66337"/>
    <w:rsid w:val="00F66BC8"/>
    <w:rsid w:val="00F714C9"/>
    <w:rsid w:val="00F746E2"/>
    <w:rsid w:val="00F754C8"/>
    <w:rsid w:val="00F76B0D"/>
    <w:rsid w:val="00F83092"/>
    <w:rsid w:val="00F843D1"/>
    <w:rsid w:val="00F86B67"/>
    <w:rsid w:val="00F877AC"/>
    <w:rsid w:val="00F908EF"/>
    <w:rsid w:val="00F914DC"/>
    <w:rsid w:val="00F918A9"/>
    <w:rsid w:val="00F91D9E"/>
    <w:rsid w:val="00F9366A"/>
    <w:rsid w:val="00F955B6"/>
    <w:rsid w:val="00F95DE6"/>
    <w:rsid w:val="00FA322F"/>
    <w:rsid w:val="00FA4903"/>
    <w:rsid w:val="00FA4C3E"/>
    <w:rsid w:val="00FA4EAC"/>
    <w:rsid w:val="00FA739A"/>
    <w:rsid w:val="00FB38CD"/>
    <w:rsid w:val="00FB42E3"/>
    <w:rsid w:val="00FB7256"/>
    <w:rsid w:val="00FC12AB"/>
    <w:rsid w:val="00FC1B0A"/>
    <w:rsid w:val="00FC2DEC"/>
    <w:rsid w:val="00FC3AC9"/>
    <w:rsid w:val="00FD03E4"/>
    <w:rsid w:val="00FD383A"/>
    <w:rsid w:val="00FD46B1"/>
    <w:rsid w:val="00FD6CD4"/>
    <w:rsid w:val="00FD7FB3"/>
    <w:rsid w:val="00FE1B11"/>
    <w:rsid w:val="00FE43CB"/>
    <w:rsid w:val="00FE7209"/>
    <w:rsid w:val="00FF01FF"/>
    <w:rsid w:val="00FF0BAD"/>
    <w:rsid w:val="00FF0D86"/>
    <w:rsid w:val="00FF1ECA"/>
    <w:rsid w:val="00FF238A"/>
    <w:rsid w:val="00FF23A2"/>
    <w:rsid w:val="00FF25D4"/>
    <w:rsid w:val="00FF4BB0"/>
    <w:rsid w:val="00FF6C4A"/>
    <w:rsid w:val="00FF7256"/>
    <w:rsid w:val="13976E66"/>
    <w:rsid w:val="1AC10EF3"/>
    <w:rsid w:val="267F5539"/>
    <w:rsid w:val="4B570C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7"/>
    <w:qFormat/>
    <w:uiPriority w:val="0"/>
    <w:rPr>
      <w:rFonts w:ascii="宋体" w:hAnsi="Courier New" w:cs="Courier New"/>
      <w:szCs w:val="21"/>
    </w:rPr>
  </w:style>
  <w:style w:type="paragraph" w:styleId="3">
    <w:name w:val="Balloon Text"/>
    <w:basedOn w:val="1"/>
    <w:link w:val="19"/>
    <w:unhideWhenUsed/>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uiPriority w:val="99"/>
    <w:pPr>
      <w:widowControl/>
      <w:jc w:val="left"/>
    </w:pPr>
    <w:rPr>
      <w:rFonts w:ascii="宋体" w:hAnsi="宋体" w:cs="宋体"/>
      <w:kern w:val="0"/>
      <w:sz w:val="24"/>
      <w:szCs w:val="24"/>
    </w:rPr>
  </w:style>
  <w:style w:type="character" w:styleId="9">
    <w:name w:val="page number"/>
    <w:basedOn w:val="8"/>
    <w:unhideWhenUsed/>
    <w:uiPriority w:val="99"/>
  </w:style>
  <w:style w:type="character" w:styleId="10">
    <w:name w:val="Emphasis"/>
    <w:qFormat/>
    <w:uiPriority w:val="99"/>
    <w:rPr>
      <w:rFonts w:cs="Times New Roman"/>
      <w:i/>
      <w:iCs/>
    </w:rPr>
  </w:style>
  <w:style w:type="paragraph" w:customStyle="1" w:styleId="12">
    <w:name w:val="列出段落1"/>
    <w:basedOn w:val="1"/>
    <w:qFormat/>
    <w:uiPriority w:val="99"/>
    <w:pPr>
      <w:ind w:firstLine="420" w:firstLineChars="200"/>
    </w:pPr>
  </w:style>
  <w:style w:type="character" w:customStyle="1" w:styleId="13">
    <w:name w:val="页眉 字符"/>
    <w:link w:val="5"/>
    <w:semiHidden/>
    <w:qFormat/>
    <w:locked/>
    <w:uiPriority w:val="99"/>
    <w:rPr>
      <w:rFonts w:cs="Times New Roman"/>
      <w:sz w:val="18"/>
      <w:szCs w:val="18"/>
    </w:rPr>
  </w:style>
  <w:style w:type="character" w:customStyle="1" w:styleId="14">
    <w:name w:val="页脚 字符"/>
    <w:link w:val="4"/>
    <w:locked/>
    <w:uiPriority w:val="99"/>
    <w:rPr>
      <w:rFonts w:cs="Times New Roman"/>
      <w:sz w:val="18"/>
      <w:szCs w:val="18"/>
    </w:rPr>
  </w:style>
  <w:style w:type="paragraph" w:customStyle="1" w:styleId="15">
    <w:name w:val="样式1"/>
    <w:basedOn w:val="1"/>
    <w:link w:val="16"/>
    <w:qFormat/>
    <w:uiPriority w:val="0"/>
    <w:pPr>
      <w:spacing w:line="620" w:lineRule="exact"/>
      <w:ind w:firstLine="640" w:firstLineChars="200"/>
    </w:pPr>
    <w:rPr>
      <w:rFonts w:ascii="仿宋" w:hAnsi="仿宋" w:eastAsia="仿宋"/>
      <w:sz w:val="32"/>
      <w:szCs w:val="32"/>
    </w:rPr>
  </w:style>
  <w:style w:type="character" w:customStyle="1" w:styleId="16">
    <w:name w:val="样式1 Char"/>
    <w:basedOn w:val="8"/>
    <w:link w:val="15"/>
    <w:qFormat/>
    <w:uiPriority w:val="0"/>
    <w:rPr>
      <w:rFonts w:ascii="仿宋" w:hAnsi="仿宋" w:eastAsia="仿宋"/>
      <w:kern w:val="2"/>
      <w:sz w:val="32"/>
      <w:szCs w:val="32"/>
    </w:rPr>
  </w:style>
  <w:style w:type="character" w:customStyle="1" w:styleId="17">
    <w:name w:val="纯文本 字符"/>
    <w:basedOn w:val="8"/>
    <w:link w:val="2"/>
    <w:uiPriority w:val="0"/>
    <w:rPr>
      <w:rFonts w:ascii="宋体" w:hAnsi="Courier New" w:cs="Courier New"/>
      <w:kern w:val="2"/>
      <w:sz w:val="21"/>
      <w:szCs w:val="21"/>
    </w:rPr>
  </w:style>
  <w:style w:type="character" w:customStyle="1" w:styleId="18">
    <w:name w:val="HTML 预设格式 字符"/>
    <w:basedOn w:val="8"/>
    <w:link w:val="6"/>
    <w:semiHidden/>
    <w:uiPriority w:val="99"/>
    <w:rPr>
      <w:rFonts w:ascii="宋体" w:hAnsi="宋体" w:cs="宋体"/>
      <w:sz w:val="24"/>
      <w:szCs w:val="24"/>
    </w:rPr>
  </w:style>
  <w:style w:type="character" w:customStyle="1" w:styleId="19">
    <w:name w:val="批注框文本 字符"/>
    <w:basedOn w:val="8"/>
    <w:link w:val="3"/>
    <w:semiHidden/>
    <w:qFormat/>
    <w:uiPriority w:val="99"/>
    <w:rPr>
      <w:kern w:val="2"/>
      <w:sz w:val="18"/>
      <w:szCs w:val="18"/>
    </w:rPr>
  </w:style>
  <w:style w:type="paragraph" w:styleId="2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D8B55-D728-48B1-B576-D1BDFB10B6AD}">
  <ds:schemaRefs/>
</ds:datastoreItem>
</file>

<file path=docProps/app.xml><?xml version="1.0" encoding="utf-8"?>
<Properties xmlns="http://schemas.openxmlformats.org/officeDocument/2006/extended-properties" xmlns:vt="http://schemas.openxmlformats.org/officeDocument/2006/docPropsVTypes">
  <Template>Normal</Template>
  <Pages>15</Pages>
  <Words>1128</Words>
  <Characters>6436</Characters>
  <Lines>53</Lines>
  <Paragraphs>15</Paragraphs>
  <TotalTime>412</TotalTime>
  <ScaleCrop>false</ScaleCrop>
  <LinksUpToDate>false</LinksUpToDate>
  <CharactersWithSpaces>7549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2018-10-15T02:09:00Z</dcterms:created>
  <dc:creator>NAN SHENG</dc:creator>
  <cp:lastModifiedBy>lenovo</cp:lastModifiedBy>
  <cp:lastPrinted>2018-10-15T03:30:00Z</cp:lastPrinted>
  <dcterms:modified xsi:type="dcterms:W3CDTF">2018-10-15T12:00:27Z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