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10" w:rsidRDefault="00A64E10" w:rsidP="00A64E10">
      <w:pPr>
        <w:widowControl/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A64E10" w:rsidRDefault="00A64E10" w:rsidP="00A64E1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“八张清单”标准化体系建设操作指南之一</w:t>
      </w:r>
    </w:p>
    <w:p w:rsidR="00A64E10" w:rsidRDefault="00A64E10" w:rsidP="00A64E10">
      <w:pPr>
        <w:spacing w:line="560" w:lineRule="exact"/>
        <w:ind w:firstLineChars="200" w:firstLine="402"/>
        <w:rPr>
          <w:rFonts w:ascii="仿宋_GB2312" w:eastAsia="仿宋_GB2312"/>
        </w:rPr>
      </w:pPr>
    </w:p>
    <w:p w:rsidR="00A64E10" w:rsidRDefault="00A64E10" w:rsidP="00A64E10">
      <w:pPr>
        <w:spacing w:line="560" w:lineRule="exact"/>
        <w:jc w:val="center"/>
        <w:rPr>
          <w:rFonts w:ascii="方正小标宋简体" w:eastAsia="方正小标宋简体" w:hAnsi="等线 Light"/>
          <w:color w:val="000000"/>
          <w:sz w:val="44"/>
          <w:szCs w:val="44"/>
        </w:rPr>
      </w:pPr>
      <w:r>
        <w:rPr>
          <w:rFonts w:ascii="方正小标宋简体" w:eastAsia="方正小标宋简体" w:hAnsi="等线 Light" w:hint="eastAsia"/>
          <w:color w:val="000000"/>
          <w:sz w:val="44"/>
          <w:szCs w:val="44"/>
        </w:rPr>
        <w:t>行政权力“三级五同”操作指南</w:t>
      </w:r>
    </w:p>
    <w:p w:rsidR="00A64E10" w:rsidRDefault="00A64E10" w:rsidP="00A64E10">
      <w:pPr>
        <w:spacing w:line="560" w:lineRule="exact"/>
        <w:ind w:firstLineChars="200" w:firstLine="402"/>
        <w:rPr>
          <w:rFonts w:ascii="仿宋_GB2312" w:eastAsia="仿宋_GB2312"/>
        </w:rPr>
      </w:pP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根据法律、法规和相关文件规定，结合自治区行政审批制度改革实际，制定本操作指南。</w:t>
      </w:r>
    </w:p>
    <w:p w:rsidR="00A64E10" w:rsidRDefault="00A64E10" w:rsidP="00A64E10">
      <w:pPr>
        <w:ind w:firstLineChars="200" w:firstLine="62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一、工作内容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（一）形成盟市级通用权责清单和旗县级通用权责清单。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（二）实现行政权力“三级五同”。</w:t>
      </w:r>
    </w:p>
    <w:p w:rsidR="00A64E10" w:rsidRDefault="00A64E10" w:rsidP="00A64E10">
      <w:pPr>
        <w:ind w:firstLineChars="200" w:firstLine="62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二、工作要求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（一）横向上实现同层级相同部门同</w:t>
      </w:r>
      <w:proofErr w:type="gramStart"/>
      <w:r>
        <w:rPr>
          <w:rFonts w:ascii="仿宋_GB2312" w:eastAsia="仿宋_GB2312" w:hint="eastAsia"/>
          <w:sz w:val="32"/>
          <w:szCs w:val="32"/>
        </w:rPr>
        <w:t>一权力</w:t>
      </w:r>
      <w:proofErr w:type="gramEnd"/>
      <w:r>
        <w:rPr>
          <w:rFonts w:ascii="仿宋_GB2312" w:eastAsia="仿宋_GB2312" w:hint="eastAsia"/>
          <w:sz w:val="32"/>
          <w:szCs w:val="32"/>
        </w:rPr>
        <w:t>事项名称一致、编码一致、类别一致、设定依据一致、基本流程一致。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（二）纵向上实现同</w:t>
      </w:r>
      <w:proofErr w:type="gramStart"/>
      <w:r>
        <w:rPr>
          <w:rFonts w:ascii="仿宋_GB2312" w:eastAsia="仿宋_GB2312" w:hint="eastAsia"/>
          <w:sz w:val="32"/>
          <w:szCs w:val="32"/>
        </w:rPr>
        <w:t>一权力</w:t>
      </w:r>
      <w:proofErr w:type="gramEnd"/>
      <w:r>
        <w:rPr>
          <w:rFonts w:ascii="仿宋_GB2312" w:eastAsia="仿宋_GB2312" w:hint="eastAsia"/>
          <w:sz w:val="32"/>
          <w:szCs w:val="32"/>
        </w:rPr>
        <w:t>事项名称相同、编码相同、类型相同、设定依据相同、基本流程相同。</w:t>
      </w:r>
    </w:p>
    <w:p w:rsidR="00A64E10" w:rsidRDefault="00A64E10" w:rsidP="00A64E10">
      <w:pPr>
        <w:ind w:firstLineChars="200" w:firstLine="62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工作步骤、分工和完成时限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（一）自治区</w:t>
      </w:r>
      <w:proofErr w:type="gramStart"/>
      <w:r>
        <w:rPr>
          <w:rFonts w:ascii="仿宋_GB2312" w:eastAsia="仿宋_GB2312" w:hint="eastAsia"/>
          <w:sz w:val="32"/>
          <w:szCs w:val="32"/>
        </w:rPr>
        <w:t>审改办</w:t>
      </w:r>
      <w:proofErr w:type="gramEnd"/>
      <w:r>
        <w:rPr>
          <w:rFonts w:ascii="仿宋_GB2312" w:eastAsia="仿宋_GB2312" w:hint="eastAsia"/>
          <w:sz w:val="32"/>
          <w:szCs w:val="32"/>
        </w:rPr>
        <w:t>负责结合各地区权责清单，形成盟市级、旗县级通用权责清单初稿。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日前完成依申请类行政权力；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月底前完成依职权类行政权力。）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（二）自治区各委、办、厅、局参照盟市级、旗县级通用权责清单初稿，进一步梳理完善本系统三级权责清单，实现行政权力“三级五同”。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月底前完成并反馈依申请类行政权力；</w:t>
      </w: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月底前完成并反馈依职权类行政权力。）</w:t>
      </w:r>
    </w:p>
    <w:p w:rsidR="00A64E10" w:rsidRDefault="00A64E10" w:rsidP="00A64E10">
      <w:pPr>
        <w:ind w:firstLineChars="200" w:firstLine="62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（三）自治区审改办在前两步工作的基础上，形成盟市级、旗县级通用权责清单，并最终实现行政权力“三级五同”。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月底前完成）</w:t>
      </w:r>
    </w:p>
    <w:p w:rsidR="00A64E10" w:rsidRDefault="00A64E10" w:rsidP="00A64E10">
      <w:pPr>
        <w:ind w:firstLineChars="200" w:firstLine="62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四、需进一步梳理完善的清单要素</w:t>
      </w:r>
    </w:p>
    <w:p w:rsidR="00A64E10" w:rsidRDefault="00A64E10" w:rsidP="00A64E10">
      <w:pPr>
        <w:ind w:firstLineChars="200" w:firstLine="622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（一）事项编码：</w:t>
      </w:r>
      <w:r>
        <w:rPr>
          <w:rFonts w:ascii="仿宋_GB2312" w:eastAsia="仿宋_GB2312" w:hint="eastAsia"/>
          <w:sz w:val="32"/>
          <w:szCs w:val="32"/>
        </w:rPr>
        <w:t>待定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（二）事项名称：</w:t>
      </w:r>
      <w:r>
        <w:rPr>
          <w:rFonts w:ascii="仿宋_GB2312" w:eastAsia="仿宋_GB2312" w:hint="eastAsia"/>
          <w:sz w:val="32"/>
          <w:szCs w:val="32"/>
        </w:rPr>
        <w:t>事项名称的编写应当以所依据的法律、法规、规章及文件为依据，尽量使用法律条文的表述，或者使用法律条文的表述进行组合，并力求简明、准确，能够反映法律条文的本质特征。名称一般采用“权力规范对象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名词或名词性词组</w:t>
      </w:r>
      <w:r>
        <w:rPr>
          <w:rFonts w:ascii="仿宋_GB2312" w:eastAsia="仿宋_GB2312"/>
          <w:sz w:val="32"/>
          <w:szCs w:val="32"/>
        </w:rPr>
        <w:t>)+</w:t>
      </w:r>
      <w:r>
        <w:rPr>
          <w:rFonts w:ascii="仿宋_GB2312" w:eastAsia="仿宋_GB2312" w:hint="eastAsia"/>
          <w:sz w:val="32"/>
          <w:szCs w:val="32"/>
        </w:rPr>
        <w:t>权力行使方式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动词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”的形式编写，权力行使方式前可以加“的”。如：“煤矿企业开办许可”、“农业机械事故责任的认定”、“对弄虚作假或以其他欺骗手段获得教师资格的处罚”等。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（三）权力类别：</w:t>
      </w:r>
      <w:r>
        <w:rPr>
          <w:rFonts w:ascii="仿宋_GB2312" w:eastAsia="仿宋_GB2312" w:hint="eastAsia"/>
          <w:sz w:val="32"/>
          <w:szCs w:val="32"/>
        </w:rPr>
        <w:t>按照行政许可、行政确认、行政奖励、行政给付、行政处罚、行政征收、行政强制措施、行政强制执行、行政监督检查、其他权力填写。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A64E10" w:rsidRDefault="00A64E10" w:rsidP="00A64E10">
      <w:pPr>
        <w:ind w:firstLineChars="200" w:firstLine="62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（四）设定依据：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设定依据需要引用多个法律、法规、规章及规范性文件的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按照效力</w:t>
      </w:r>
      <w:proofErr w:type="gramStart"/>
      <w:r>
        <w:rPr>
          <w:rFonts w:ascii="仿宋_GB2312" w:eastAsia="仿宋_GB2312" w:hint="eastAsia"/>
          <w:sz w:val="32"/>
          <w:szCs w:val="32"/>
        </w:rPr>
        <w:t>位阶从高</w:t>
      </w:r>
      <w:proofErr w:type="gramEnd"/>
      <w:r>
        <w:rPr>
          <w:rFonts w:ascii="仿宋_GB2312" w:eastAsia="仿宋_GB2312" w:hint="eastAsia"/>
          <w:sz w:val="32"/>
          <w:szCs w:val="32"/>
        </w:rPr>
        <w:t>到低顺序排列，并标明依据性质。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设定依据应当引用最新修订的法律、法规、规章及规范性文件，并随时关注设定依据的</w:t>
      </w:r>
      <w:proofErr w:type="gramStart"/>
      <w:r>
        <w:rPr>
          <w:rFonts w:ascii="仿宋_GB2312" w:eastAsia="仿宋_GB2312" w:hint="eastAsia"/>
          <w:sz w:val="32"/>
          <w:szCs w:val="32"/>
        </w:rPr>
        <w:t>立改废</w:t>
      </w:r>
      <w:proofErr w:type="gramEnd"/>
      <w:r>
        <w:rPr>
          <w:rFonts w:ascii="仿宋_GB2312" w:eastAsia="仿宋_GB2312" w:hint="eastAsia"/>
          <w:sz w:val="32"/>
          <w:szCs w:val="32"/>
        </w:rPr>
        <w:t>情况，及时更新设定依据。特别要注意规范性文件的有效性，坚决避免将已失效或被废止的规范性文件列为行政权力的设定依据。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由上级政府下放的行政权力事项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应当写明下放的依据。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sz w:val="32"/>
          <w:szCs w:val="32"/>
        </w:rPr>
        <w:t>应穷尽事项的设定依据，所引用的法</w:t>
      </w:r>
      <w:proofErr w:type="gramStart"/>
      <w:r>
        <w:rPr>
          <w:rFonts w:ascii="仿宋_GB2312" w:eastAsia="仿宋_GB2312" w:hint="eastAsia"/>
          <w:sz w:val="32"/>
          <w:szCs w:val="32"/>
        </w:rPr>
        <w:t>条应当</w:t>
      </w:r>
      <w:proofErr w:type="gramEnd"/>
      <w:r>
        <w:rPr>
          <w:rFonts w:ascii="仿宋_GB2312" w:eastAsia="仿宋_GB2312" w:hint="eastAsia"/>
          <w:sz w:val="32"/>
          <w:szCs w:val="32"/>
        </w:rPr>
        <w:t>准确、</w:t>
      </w:r>
      <w:proofErr w:type="gramStart"/>
      <w:r>
        <w:rPr>
          <w:rFonts w:ascii="仿宋_GB2312" w:eastAsia="仿宋_GB2312" w:hint="eastAsia"/>
          <w:sz w:val="32"/>
          <w:szCs w:val="32"/>
        </w:rPr>
        <w:t>完整</w:t>
      </w:r>
      <w:r>
        <w:rPr>
          <w:rFonts w:ascii="仿宋_GB2312" w:eastAsia="仿宋_GB2312"/>
          <w:sz w:val="32"/>
          <w:szCs w:val="32"/>
        </w:rPr>
        <w:t>,</w:t>
      </w:r>
      <w:proofErr w:type="gramEnd"/>
      <w:r>
        <w:rPr>
          <w:rFonts w:ascii="仿宋_GB2312" w:eastAsia="仿宋_GB2312" w:hint="eastAsia"/>
          <w:sz w:val="32"/>
          <w:szCs w:val="32"/>
        </w:rPr>
        <w:t>避免使用省略号。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（五）责任主体：</w:t>
      </w:r>
      <w:r>
        <w:rPr>
          <w:rFonts w:ascii="仿宋_GB2312" w:eastAsia="仿宋_GB2312" w:hint="eastAsia"/>
          <w:sz w:val="32"/>
          <w:szCs w:val="32"/>
        </w:rPr>
        <w:t>为法律、法规、规章明确规定的行政执法主体。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（六）基本流程：</w:t>
      </w:r>
      <w:r>
        <w:rPr>
          <w:rFonts w:ascii="仿宋_GB2312" w:eastAsia="仿宋_GB2312" w:hint="eastAsia"/>
          <w:sz w:val="32"/>
          <w:szCs w:val="32"/>
        </w:rPr>
        <w:t>即法定程序。如：</w:t>
      </w:r>
      <w:r w:rsidR="00547DD1">
        <w:rPr>
          <w:rFonts w:ascii="仿宋_GB2312" w:eastAsia="仿宋_GB2312" w:hint="eastAsia"/>
          <w:sz w:val="32"/>
          <w:szCs w:val="32"/>
        </w:rPr>
        <w:t>《中华人民共和国行政许可法》</w:t>
      </w:r>
      <w:r>
        <w:rPr>
          <w:rFonts w:ascii="仿宋_GB2312" w:eastAsia="仿宋_GB2312" w:hint="eastAsia"/>
          <w:sz w:val="32"/>
          <w:szCs w:val="32"/>
        </w:rPr>
        <w:t>中规定的行政许可的法定程序；《中华人民共和国行政处罚法》中规定的行政处罚的简易程序和一般程序；</w:t>
      </w:r>
      <w:r w:rsidR="000703E8">
        <w:rPr>
          <w:rFonts w:ascii="仿宋_GB2312" w:eastAsia="仿宋_GB2312" w:hint="eastAsia"/>
          <w:sz w:val="32"/>
          <w:szCs w:val="32"/>
        </w:rPr>
        <w:t>《中华人民共和国行政强制法》</w:t>
      </w:r>
      <w:r>
        <w:rPr>
          <w:rFonts w:ascii="仿宋_GB2312" w:eastAsia="仿宋_GB2312" w:hint="eastAsia"/>
          <w:sz w:val="32"/>
          <w:szCs w:val="32"/>
        </w:rPr>
        <w:t>中规定的行政强制措施和行政强制执行的法定程序。在没有法定程序的行政权力事项中，依申请类行政权力事项应当参照行政许可的法定程序；依职权类行政权力事项应当参照行政处罚或行政强制的法定程序。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（七）备注：</w:t>
      </w:r>
      <w:r>
        <w:rPr>
          <w:rFonts w:ascii="仿宋_GB2312" w:eastAsia="仿宋_GB2312" w:hint="eastAsia"/>
          <w:sz w:val="32"/>
          <w:szCs w:val="32"/>
        </w:rPr>
        <w:t>其他需要补充说明的问题。</w:t>
      </w:r>
    </w:p>
    <w:p w:rsidR="00A64E10" w:rsidRDefault="00A64E10" w:rsidP="00A64E10">
      <w:pPr>
        <w:ind w:firstLineChars="200" w:firstLine="62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五、相关事项</w:t>
      </w:r>
    </w:p>
    <w:p w:rsidR="00A64E10" w:rsidRDefault="00A64E10" w:rsidP="00A64E10">
      <w:pPr>
        <w:ind w:firstLineChars="200" w:firstLine="62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（一）关于行政权力子项的梳理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果一个行政权力事项包含多个具体的内容，每项内容的名称、设定依据、申请材料各不相同，应当在权责清单中明确该项行政权力的子项，子项也应符合行政权力“三级五同”的要求。如“社会团体成立、变更、注销登记”可分为社会团体成立登记、社会团体变更登记、社会团体注销登记三个子项。</w:t>
      </w:r>
    </w:p>
    <w:p w:rsidR="00A64E10" w:rsidRDefault="00A64E10" w:rsidP="00A64E10">
      <w:pPr>
        <w:ind w:firstLineChars="200" w:firstLine="62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（二）关于行政处罚的梳理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原则上应以法律、法规和规章的一条或一款作为一个行政处罚事项。同一条或者同一款下分为多个“项”，且各“项”为不同违法行为的，可以以子项的方式列明。</w:t>
      </w:r>
    </w:p>
    <w:p w:rsidR="00A64E10" w:rsidRDefault="00A64E10" w:rsidP="00A64E10">
      <w:pPr>
        <w:ind w:firstLineChars="200" w:firstLine="62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（三）关于行政权力的下放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重点审核行政权力事项的下放。设定依据明确规定行使层级的权力事项，不得违法下放；国务院和自治区明确下放层级的权力事项，不得再行下放。</w:t>
      </w:r>
    </w:p>
    <w:p w:rsidR="00A64E10" w:rsidRDefault="00A64E10" w:rsidP="00A64E10">
      <w:pPr>
        <w:ind w:firstLineChars="200" w:firstLine="62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（四）关于行政确认事项的界定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只有相对独立的行政确认行为可以认定为行政确认事项，编入权责清单。作为行政许可、行政处罚、行政强制的某个环节的行政确认行为，不应单独界定为行政确认事项。比如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“管制刀具认定”属于相应行政处罚的环节之一，因此，不应将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“管制刀具认定”界定为行政确认事项。</w:t>
      </w:r>
    </w:p>
    <w:p w:rsidR="00A64E10" w:rsidRDefault="00A64E10" w:rsidP="00A64E10">
      <w:pPr>
        <w:ind w:firstLineChars="200" w:firstLine="62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（五）关于行政监督检查权的梳理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为实现和随机抽查事项清单的对接，应当重新梳理行政监督检查事项。具体范例参照自治区人民政府网站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权责清单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国土资源厅</w:t>
      </w:r>
      <w:proofErr w:type="gramStart"/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行政</w:t>
      </w:r>
      <w:proofErr w:type="gramEnd"/>
      <w:r>
        <w:rPr>
          <w:rFonts w:ascii="仿宋_GB2312" w:eastAsia="仿宋_GB2312" w:hint="eastAsia"/>
          <w:sz w:val="32"/>
          <w:szCs w:val="32"/>
        </w:rPr>
        <w:t>监督检查权，自治区人民政府网站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随机抽查事项清单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国土资源厅。</w:t>
      </w:r>
    </w:p>
    <w:p w:rsidR="00A64E10" w:rsidRDefault="00A64E10" w:rsidP="00A64E10">
      <w:pPr>
        <w:ind w:firstLineChars="200" w:firstLine="62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（六）关于“其他行政权力”的界定</w:t>
      </w:r>
    </w:p>
    <w:p w:rsidR="00A64E10" w:rsidRDefault="00A64E10" w:rsidP="00A64E10">
      <w:pPr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“其他行政权力”主要包括行政备案、行政裁决、行政征用和审核转报，应当在权力类别中注明，如“其他行政权力（行政备案）”。</w:t>
      </w:r>
    </w:p>
    <w:p w:rsidR="00A64E10" w:rsidRDefault="00A64E10" w:rsidP="00A64E10">
      <w:pPr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:rsidR="00A64E10" w:rsidRDefault="00A64E10" w:rsidP="00A64E10"/>
    <w:p w:rsidR="004A3327" w:rsidRDefault="004A3327"/>
    <w:sectPr w:rsidR="004A3327">
      <w:footerReference w:type="even" r:id="rId6"/>
      <w:footerReference w:type="default" r:id="rId7"/>
      <w:pgSz w:w="11906" w:h="16838"/>
      <w:pgMar w:top="169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78" w:rsidRDefault="00A81478">
      <w:r>
        <w:separator/>
      </w:r>
    </w:p>
  </w:endnote>
  <w:endnote w:type="continuationSeparator" w:id="0">
    <w:p w:rsidR="00A81478" w:rsidRDefault="00A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7B" w:rsidRDefault="00A64E10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-</w:t>
    </w:r>
    <w:r>
      <w:rPr>
        <w:rFonts w:ascii="仿宋" w:eastAsia="仿宋" w:hAnsi="仿宋"/>
        <w:sz w:val="28"/>
        <w:szCs w:val="28"/>
      </w:rPr>
      <w:t xml:space="preserve"> 2 -</w:t>
    </w:r>
    <w:r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7B" w:rsidRDefault="00A64E10">
    <w:pPr>
      <w:pStyle w:val="a3"/>
      <w:ind w:right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47DD1" w:rsidRPr="00547DD1">
      <w:rPr>
        <w:rFonts w:ascii="宋体" w:hAnsi="宋体"/>
        <w:noProof/>
        <w:sz w:val="28"/>
        <w:szCs w:val="28"/>
        <w:lang w:val="zh-CN"/>
      </w:rPr>
      <w:t>-</w:t>
    </w:r>
    <w:r w:rsidR="00547DD1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78" w:rsidRDefault="00A81478">
      <w:r>
        <w:separator/>
      </w:r>
    </w:p>
  </w:footnote>
  <w:footnote w:type="continuationSeparator" w:id="0">
    <w:p w:rsidR="00A81478" w:rsidRDefault="00A8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10"/>
    <w:rsid w:val="000703E8"/>
    <w:rsid w:val="004A3327"/>
    <w:rsid w:val="00547DD1"/>
    <w:rsid w:val="00A13969"/>
    <w:rsid w:val="00A64E10"/>
    <w:rsid w:val="00A8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E0DC0-2BCE-4199-B9F2-07169C02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4E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64E10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2023-06-01T09:13:00Z</dcterms:created>
  <dcterms:modified xsi:type="dcterms:W3CDTF">2025-02-19T02:40:00Z</dcterms:modified>
</cp:coreProperties>
</file>